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6B577" w14:textId="369D09CF" w:rsidR="00405E0D" w:rsidRPr="000F0716" w:rsidRDefault="00405E0D" w:rsidP="00405E0D">
      <w:pPr>
        <w:pStyle w:val="CRCoverPage"/>
        <w:tabs>
          <w:tab w:val="right" w:pos="9639"/>
        </w:tabs>
        <w:spacing w:before="120" w:after="0"/>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 WG2 Meeting</w:t>
      </w:r>
      <w:bookmarkEnd w:id="0"/>
      <w:bookmarkEnd w:id="1"/>
      <w:r>
        <w:rPr>
          <w:rFonts w:cs="SimHei"/>
          <w:b/>
          <w:sz w:val="24"/>
          <w:szCs w:val="24"/>
        </w:rPr>
        <w:t xml:space="preserve"> </w:t>
      </w:r>
      <w:r w:rsidRPr="00E94B97">
        <w:rPr>
          <w:rFonts w:cs="SimHei"/>
          <w:b/>
          <w:sz w:val="24"/>
          <w:szCs w:val="24"/>
        </w:rPr>
        <w:t>#</w:t>
      </w:r>
      <w:r>
        <w:rPr>
          <w:rFonts w:cs="SimHei"/>
          <w:b/>
          <w:sz w:val="24"/>
          <w:szCs w:val="24"/>
        </w:rPr>
        <w:t>12</w:t>
      </w:r>
      <w:r w:rsidR="00A9710E">
        <w:rPr>
          <w:rFonts w:cs="SimHei"/>
          <w:b/>
          <w:sz w:val="24"/>
          <w:szCs w:val="24"/>
        </w:rPr>
        <w:t>1</w:t>
      </w:r>
      <w:r>
        <w:rPr>
          <w:b/>
          <w:noProof/>
          <w:sz w:val="24"/>
        </w:rPr>
        <w:t xml:space="preserve">          </w:t>
      </w:r>
      <w:r>
        <w:rPr>
          <w:b/>
          <w:noProof/>
          <w:sz w:val="24"/>
        </w:rPr>
        <w:tab/>
        <w:t xml:space="preserve">          </w:t>
      </w:r>
      <w:r w:rsidR="006F4E0B" w:rsidRPr="006F4E0B">
        <w:rPr>
          <w:rFonts w:eastAsia="Malgun Gothic"/>
          <w:b/>
          <w:bCs/>
          <w:sz w:val="24"/>
          <w:szCs w:val="24"/>
          <w:lang w:eastAsia="zh-CN"/>
        </w:rPr>
        <w:t>R2-2301487</w:t>
      </w:r>
    </w:p>
    <w:p w14:paraId="6F655869" w14:textId="418E253D" w:rsidR="004D566E" w:rsidRDefault="00A9710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r w:rsidRPr="00A9710E">
        <w:rPr>
          <w:rFonts w:ascii="Arial" w:eastAsia="SimSun" w:hAnsi="Arial" w:cs="Arial"/>
          <w:b/>
          <w:kern w:val="0"/>
          <w:sz w:val="24"/>
          <w:szCs w:val="20"/>
          <w:lang w:val="de-DE"/>
        </w:rPr>
        <w:t>Athens, Greece, Feb. 27th –</w:t>
      </w:r>
      <w:r w:rsidR="006F4E0B">
        <w:rPr>
          <w:rFonts w:ascii="Arial" w:eastAsia="SimSun" w:hAnsi="Arial" w:cs="Arial"/>
          <w:b/>
          <w:kern w:val="0"/>
          <w:sz w:val="24"/>
          <w:szCs w:val="20"/>
          <w:lang w:val="de-DE"/>
        </w:rPr>
        <w:t xml:space="preserve"> </w:t>
      </w:r>
      <w:r w:rsidRPr="00A9710E">
        <w:rPr>
          <w:rFonts w:ascii="Arial" w:eastAsia="SimSun" w:hAnsi="Arial" w:cs="Arial"/>
          <w:b/>
          <w:kern w:val="0"/>
          <w:sz w:val="24"/>
          <w:szCs w:val="20"/>
          <w:lang w:val="de-DE"/>
        </w:rPr>
        <w:t>Mar. 3rd, 2023</w:t>
      </w:r>
    </w:p>
    <w:p w14:paraId="7B8C3FC8" w14:textId="4E77E0E1" w:rsidR="00A9710E" w:rsidRDefault="00A9710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3EA1090B"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A9710E">
        <w:rPr>
          <w:rFonts w:ascii="Arial" w:eastAsia="Arial Unicode MS" w:hAnsi="Arial" w:cs="Arial"/>
          <w:b/>
          <w:bCs/>
          <w:kern w:val="0"/>
          <w:sz w:val="24"/>
          <w:szCs w:val="20"/>
          <w:lang w:val="en-GB"/>
        </w:rPr>
        <w:t>Further d</w:t>
      </w:r>
      <w:r w:rsidR="00E8242F" w:rsidRPr="00E8242F">
        <w:rPr>
          <w:rFonts w:ascii="Arial" w:eastAsia="Arial Unicode MS" w:hAnsi="Arial" w:cs="Arial"/>
          <w:b/>
          <w:bCs/>
          <w:kern w:val="0"/>
          <w:sz w:val="24"/>
          <w:szCs w:val="20"/>
          <w:lang w:val="en-GB"/>
        </w:rPr>
        <w:t xml:space="preserve">iscussion on </w:t>
      </w:r>
      <w:r w:rsidR="00A9710E">
        <w:rPr>
          <w:rFonts w:ascii="Arial" w:eastAsia="Arial Unicode MS" w:hAnsi="Arial" w:cs="Arial"/>
          <w:b/>
          <w:bCs/>
          <w:kern w:val="0"/>
          <w:sz w:val="24"/>
          <w:szCs w:val="20"/>
          <w:lang w:val="en-GB"/>
        </w:rPr>
        <w:t xml:space="preserve">details of </w:t>
      </w:r>
      <w:r w:rsidR="00E8242F" w:rsidRPr="00E8242F">
        <w:rPr>
          <w:rFonts w:ascii="Arial" w:eastAsia="Arial Unicode MS" w:hAnsi="Arial" w:cs="Arial"/>
          <w:b/>
          <w:bCs/>
          <w:kern w:val="0"/>
          <w:sz w:val="24"/>
          <w:szCs w:val="20"/>
          <w:lang w:val="en-GB"/>
        </w:rPr>
        <w:t>FDM enhancement</w:t>
      </w:r>
      <w:r w:rsidR="00A9710E">
        <w:rPr>
          <w:rFonts w:ascii="Arial" w:eastAsia="Arial Unicode MS" w:hAnsi="Arial" w:cs="Arial"/>
          <w:b/>
          <w:bCs/>
          <w:kern w:val="0"/>
          <w:sz w:val="24"/>
          <w:szCs w:val="20"/>
          <w:lang w:val="en-GB"/>
        </w:rPr>
        <w:t xml:space="preserve"> for NR IDC</w:t>
      </w:r>
    </w:p>
    <w:p w14:paraId="080360EB" w14:textId="77777777" w:rsidR="00655031"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7358C0BC"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w:t>
      </w:r>
      <w:r w:rsidR="00E8242F">
        <w:rPr>
          <w:rFonts w:ascii="Arial" w:eastAsia="MS Mincho" w:hAnsi="Arial" w:cs="Arial"/>
          <w:b/>
          <w:bCs/>
          <w:kern w:val="0"/>
          <w:sz w:val="24"/>
          <w:szCs w:val="20"/>
          <w:lang w:val="en-GB" w:eastAsia="en-US"/>
        </w:rPr>
        <w:t>10</w:t>
      </w:r>
      <w:r>
        <w:rPr>
          <w:rFonts w:ascii="Arial" w:eastAsia="MS Mincho" w:hAnsi="Arial" w:cs="Arial"/>
          <w:b/>
          <w:bCs/>
          <w:kern w:val="0"/>
          <w:sz w:val="24"/>
          <w:szCs w:val="20"/>
          <w:lang w:val="en-GB" w:eastAsia="en-US"/>
        </w:rPr>
        <w:t>.</w:t>
      </w:r>
      <w:r w:rsidR="00E8242F">
        <w:rPr>
          <w:rFonts w:ascii="Arial" w:eastAsia="MS Mincho" w:hAnsi="Arial" w:cs="Arial"/>
          <w:b/>
          <w:bCs/>
          <w:kern w:val="0"/>
          <w:sz w:val="24"/>
          <w:szCs w:val="20"/>
          <w:lang w:val="en-GB" w:eastAsia="en-US"/>
        </w:rPr>
        <w:t>2</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2"/>
    </w:p>
    <w:p w14:paraId="6DF427F2" w14:textId="657DA46D" w:rsidR="004D566E" w:rsidRDefault="00D0307D" w:rsidP="008A6979">
      <w:pPr>
        <w:pStyle w:val="Heading1"/>
        <w:numPr>
          <w:ilvl w:val="0"/>
          <w:numId w:val="10"/>
        </w:numPr>
      </w:pPr>
      <w:r>
        <w:rPr>
          <w:lang w:eastAsia="zh-CN"/>
        </w:rPr>
        <w:t>Introduction</w:t>
      </w:r>
    </w:p>
    <w:p w14:paraId="64D67915" w14:textId="02612904" w:rsidR="00A9710E" w:rsidRDefault="00405E0D" w:rsidP="00405E0D">
      <w:r>
        <w:t>In RAN 2 #1</w:t>
      </w:r>
      <w:r w:rsidR="00A9710E">
        <w:t>20</w:t>
      </w:r>
      <w:r>
        <w:t xml:space="preserve"> meeting we had </w:t>
      </w:r>
      <w:r w:rsidR="00A9710E">
        <w:t>agreed to</w:t>
      </w:r>
      <w:r w:rsidR="00A9710E" w:rsidRPr="00A9710E">
        <w:t xml:space="preserve"> down select one of solution 1, 2 or 2a based on ASN.1 detail</w:t>
      </w:r>
      <w:r w:rsidR="00851CCB">
        <w:t xml:space="preserve"> for FDM enhancements</w:t>
      </w:r>
      <w:r w:rsidR="00A9710E" w:rsidRPr="00A9710E">
        <w:t xml:space="preserve">. </w:t>
      </w:r>
      <w:r w:rsidR="00A9710E">
        <w:t xml:space="preserve">We also had </w:t>
      </w:r>
      <w:r w:rsidR="00851CCB">
        <w:t>an</w:t>
      </w:r>
      <w:r w:rsidR="00A9710E">
        <w:t xml:space="preserve"> </w:t>
      </w:r>
      <w:r w:rsidR="00A9710E" w:rsidRPr="00A9710E">
        <w:t xml:space="preserve">FFS on the </w:t>
      </w:r>
      <w:proofErr w:type="spellStart"/>
      <w:r w:rsidR="00A9710E" w:rsidRPr="00A9710E">
        <w:t>signalling</w:t>
      </w:r>
      <w:proofErr w:type="spellEnd"/>
      <w:r w:rsidR="00A9710E" w:rsidRPr="00A9710E">
        <w:t xml:space="preserve"> details, how to configure, how to report</w:t>
      </w:r>
      <w:r w:rsidR="00851CCB">
        <w:t xml:space="preserve"> for the FDM enhancements</w:t>
      </w:r>
      <w:r w:rsidR="00A9710E" w:rsidRPr="00A9710E">
        <w:t>.</w:t>
      </w:r>
    </w:p>
    <w:p w14:paraId="1EA441AD" w14:textId="77777777" w:rsidR="00A9710E" w:rsidRDefault="00A9710E" w:rsidP="00405E0D"/>
    <w:p w14:paraId="0AA34320" w14:textId="77777777" w:rsidR="00A9710E" w:rsidRPr="00A9710E" w:rsidRDefault="00A9710E" w:rsidP="00A9710E">
      <w:r w:rsidRPr="00A9710E">
        <w:t>Brief description frequency range solutions 1, 2 or 2a for FDM enhancements are given below</w:t>
      </w:r>
    </w:p>
    <w:p w14:paraId="3452DFFE" w14:textId="77777777" w:rsidR="00A9710E" w:rsidRPr="00A9710E" w:rsidRDefault="00A9710E" w:rsidP="00A9710E">
      <w:pPr>
        <w:numPr>
          <w:ilvl w:val="1"/>
          <w:numId w:val="5"/>
        </w:numPr>
        <w:tabs>
          <w:tab w:val="clear" w:pos="1440"/>
        </w:tabs>
      </w:pPr>
      <w:r w:rsidRPr="00A9710E">
        <w:t>Option 1: Central frequency + Bandwidth of the actual affected frequency range</w:t>
      </w:r>
    </w:p>
    <w:p w14:paraId="6A67E40B" w14:textId="77777777" w:rsidR="00A9710E" w:rsidRPr="00A9710E" w:rsidRDefault="00A9710E" w:rsidP="00A9710E">
      <w:pPr>
        <w:numPr>
          <w:ilvl w:val="1"/>
          <w:numId w:val="5"/>
        </w:numPr>
        <w:tabs>
          <w:tab w:val="clear" w:pos="1440"/>
        </w:tabs>
      </w:pPr>
      <w:bookmarkStart w:id="3" w:name="_Hlk124461159"/>
      <w:r w:rsidRPr="00A9710E">
        <w:t>Option 2: Starting frequency + Ending frequency of the actual affected frequency range</w:t>
      </w:r>
      <w:bookmarkEnd w:id="3"/>
    </w:p>
    <w:p w14:paraId="2EA472DB" w14:textId="77777777" w:rsidR="00A9710E" w:rsidRPr="00A9710E" w:rsidRDefault="00A9710E" w:rsidP="00A9710E">
      <w:pPr>
        <w:numPr>
          <w:ilvl w:val="1"/>
          <w:numId w:val="5"/>
        </w:numPr>
        <w:tabs>
          <w:tab w:val="clear" w:pos="1440"/>
        </w:tabs>
      </w:pPr>
      <w:r w:rsidRPr="00A9710E">
        <w:t xml:space="preserve">Option 2a: starting frequency + </w:t>
      </w:r>
      <w:bookmarkStart w:id="4" w:name="_Hlk124461724"/>
      <w:r w:rsidRPr="00A9710E">
        <w:t>Bandwidth of the actual affected frequency range</w:t>
      </w:r>
      <w:bookmarkEnd w:id="4"/>
    </w:p>
    <w:p w14:paraId="571374E9" w14:textId="77777777" w:rsidR="00F408B7" w:rsidRPr="005D6EC8" w:rsidRDefault="00F408B7" w:rsidP="00F408B7">
      <w:pPr>
        <w:widowControl/>
        <w:overflowPunct w:val="0"/>
        <w:autoSpaceDE w:val="0"/>
        <w:autoSpaceDN w:val="0"/>
        <w:adjustRightInd w:val="0"/>
        <w:ind w:left="1077"/>
        <w:jc w:val="left"/>
        <w:textAlignment w:val="baseline"/>
        <w:rPr>
          <w:bCs/>
          <w:color w:val="000000" w:themeColor="text1"/>
        </w:rPr>
      </w:pPr>
    </w:p>
    <w:p w14:paraId="00FC6A51" w14:textId="22479B3B" w:rsidR="00851CCB" w:rsidRDefault="00405E0D" w:rsidP="00405E0D">
      <w:r>
        <w:t xml:space="preserve">In </w:t>
      </w:r>
      <w:r w:rsidR="00851CCB" w:rsidRPr="00851CCB">
        <w:t>[Post120][652][IDC] Further details of FDM solution</w:t>
      </w:r>
      <w:r w:rsidR="00851CCB">
        <w:t xml:space="preserve">, companies were invited to express their views </w:t>
      </w:r>
      <w:r w:rsidR="00931D26">
        <w:t xml:space="preserve">for down selection of the solution and </w:t>
      </w:r>
      <w:r w:rsidR="00851CCB">
        <w:t xml:space="preserve">on various aspects that are open for FDM enhancements </w:t>
      </w:r>
      <w:r w:rsidR="00FD7255">
        <w:t xml:space="preserve">such as </w:t>
      </w:r>
      <w:r w:rsidR="00851CCB" w:rsidRPr="00851CCB">
        <w:t xml:space="preserve">whether </w:t>
      </w:r>
      <w:r w:rsidR="00FD7255">
        <w:t xml:space="preserve">we need to support the functionality for the </w:t>
      </w:r>
      <w:r w:rsidR="00851CCB" w:rsidRPr="00851CCB">
        <w:t xml:space="preserve">SN </w:t>
      </w:r>
      <w:r w:rsidR="00FD7255">
        <w:t xml:space="preserve">to </w:t>
      </w:r>
      <w:r w:rsidR="00851CCB" w:rsidRPr="00851CCB">
        <w:t>configure the IDC reporting for FDM enhancement and whether the MN-SN coordination is needed to configure the FDM enhancement</w:t>
      </w:r>
      <w:r w:rsidR="00851CCB">
        <w:t xml:space="preserve">. </w:t>
      </w:r>
    </w:p>
    <w:p w14:paraId="5A41FDE4" w14:textId="77777777" w:rsidR="00851CCB" w:rsidRDefault="00851CCB" w:rsidP="00405E0D"/>
    <w:p w14:paraId="03536409" w14:textId="66C70E60" w:rsidR="00FD7255" w:rsidRDefault="00851CCB" w:rsidP="00405E0D">
      <w:r>
        <w:t xml:space="preserve">In </w:t>
      </w:r>
      <w:r w:rsidR="00405E0D">
        <w:t xml:space="preserve">this contribution we </w:t>
      </w:r>
      <w:r w:rsidR="00FD7255">
        <w:t>provide our views</w:t>
      </w:r>
      <w:r w:rsidR="00931D26">
        <w:t>/details</w:t>
      </w:r>
      <w:r w:rsidR="00FD7255">
        <w:t xml:space="preserve"> on these open items. We </w:t>
      </w:r>
      <w:r w:rsidR="00D51F3D">
        <w:t xml:space="preserve">first discuss the </w:t>
      </w:r>
      <w:r>
        <w:t xml:space="preserve">details of the </w:t>
      </w:r>
      <w:r w:rsidRPr="00851CCB">
        <w:t xml:space="preserve">information </w:t>
      </w:r>
      <w:r>
        <w:t xml:space="preserve">needed </w:t>
      </w:r>
      <w:r w:rsidR="00931D26">
        <w:t xml:space="preserve">for </w:t>
      </w:r>
      <w:r w:rsidRPr="00851CCB">
        <w:t>UE reporting</w:t>
      </w:r>
      <w:r>
        <w:t>, followed by the</w:t>
      </w:r>
      <w:r w:rsidRPr="00851CCB">
        <w:t xml:space="preserve"> </w:t>
      </w:r>
      <w:r>
        <w:t xml:space="preserve">details of the </w:t>
      </w:r>
      <w:r w:rsidRPr="00851CCB">
        <w:t xml:space="preserve">configuration to enable the FDM enhancement from the </w:t>
      </w:r>
      <w:proofErr w:type="spellStart"/>
      <w:r w:rsidRPr="00851CCB">
        <w:t>gNB</w:t>
      </w:r>
      <w:proofErr w:type="spellEnd"/>
      <w:r>
        <w:t xml:space="preserve">. We then discuss </w:t>
      </w:r>
      <w:r w:rsidRPr="00851CCB">
        <w:t xml:space="preserve">whether SN </w:t>
      </w:r>
      <w:r w:rsidR="00FD7255">
        <w:t xml:space="preserve">needs to </w:t>
      </w:r>
      <w:r w:rsidRPr="00851CCB">
        <w:t>configure the IDC reporting for FDM enhancement</w:t>
      </w:r>
      <w:r w:rsidR="00FD7255">
        <w:t xml:space="preserve"> </w:t>
      </w:r>
      <w:r w:rsidRPr="00851CCB">
        <w:t xml:space="preserve">and </w:t>
      </w:r>
      <w:r w:rsidR="00922BB6">
        <w:t>high-level</w:t>
      </w:r>
      <w:r w:rsidR="00E37168">
        <w:t xml:space="preserve"> </w:t>
      </w:r>
      <w:r w:rsidR="00FD7255">
        <w:t>details of</w:t>
      </w:r>
      <w:r w:rsidRPr="00851CCB">
        <w:t xml:space="preserve"> the MN-SN coordination needed to configure the FDM enhancement</w:t>
      </w:r>
      <w:r w:rsidR="00FD7255">
        <w:t xml:space="preserve"> and to</w:t>
      </w:r>
      <w:r w:rsidR="00FD7255" w:rsidRPr="00FD7255">
        <w:t xml:space="preserve"> address the IDC via FDM solution</w:t>
      </w:r>
      <w:r w:rsidR="00FD7255">
        <w:t xml:space="preserve"> .</w:t>
      </w:r>
    </w:p>
    <w:p w14:paraId="4B5A86F9" w14:textId="35A79E9D" w:rsidR="004D566E" w:rsidRDefault="00633770" w:rsidP="002877F4">
      <w:pPr>
        <w:pStyle w:val="Heading1"/>
        <w:numPr>
          <w:ilvl w:val="0"/>
          <w:numId w:val="10"/>
        </w:numPr>
      </w:pPr>
      <w:r>
        <w:t>Discussion</w:t>
      </w:r>
    </w:p>
    <w:p w14:paraId="3998B6DC" w14:textId="12560E79" w:rsidR="00155AC9" w:rsidRDefault="00155AC9" w:rsidP="00155AC9">
      <w:pPr>
        <w:pStyle w:val="Heading2"/>
      </w:pPr>
      <w:r>
        <w:rPr>
          <w:rFonts w:hint="eastAsia"/>
        </w:rPr>
        <w:t>2</w:t>
      </w:r>
      <w:r>
        <w:t xml:space="preserve">.1 </w:t>
      </w:r>
      <w:r w:rsidR="00931D26">
        <w:t xml:space="preserve">Contents of the IDC </w:t>
      </w:r>
      <w:r w:rsidR="003D25C9">
        <w:t>R</w:t>
      </w:r>
      <w:r w:rsidR="00931D26">
        <w:t>eports from UE</w:t>
      </w:r>
      <w:r>
        <w:t xml:space="preserve"> </w:t>
      </w:r>
    </w:p>
    <w:p w14:paraId="188F4921" w14:textId="45A0C040" w:rsidR="00ED4169" w:rsidRDefault="006E1EC5" w:rsidP="00125613">
      <w:r>
        <w:t xml:space="preserve">Comparing the three options below for deciding the contents of the IDC reports </w:t>
      </w:r>
    </w:p>
    <w:p w14:paraId="4790327C" w14:textId="77777777" w:rsidR="006E1EC5" w:rsidRDefault="006E1EC5" w:rsidP="00125613">
      <w:pPr>
        <w:rPr>
          <w:b/>
          <w:szCs w:val="21"/>
        </w:rPr>
      </w:pPr>
    </w:p>
    <w:p w14:paraId="42B2BB5F" w14:textId="77777777" w:rsidR="006E1EC5" w:rsidRPr="006E1EC5" w:rsidRDefault="006E1EC5" w:rsidP="006E1EC5">
      <w:pPr>
        <w:numPr>
          <w:ilvl w:val="1"/>
          <w:numId w:val="5"/>
        </w:numPr>
        <w:tabs>
          <w:tab w:val="clear" w:pos="1440"/>
        </w:tabs>
        <w:rPr>
          <w:szCs w:val="21"/>
        </w:rPr>
      </w:pPr>
      <w:r w:rsidRPr="006E1EC5">
        <w:rPr>
          <w:szCs w:val="21"/>
        </w:rPr>
        <w:t>Option 1: Central frequency + Bandwidth of the actual affected frequency range</w:t>
      </w:r>
    </w:p>
    <w:p w14:paraId="5DCB0FB0" w14:textId="77777777" w:rsidR="006E1EC5" w:rsidRPr="006E1EC5" w:rsidRDefault="006E1EC5" w:rsidP="006E1EC5">
      <w:pPr>
        <w:numPr>
          <w:ilvl w:val="1"/>
          <w:numId w:val="5"/>
        </w:numPr>
        <w:tabs>
          <w:tab w:val="clear" w:pos="1440"/>
        </w:tabs>
        <w:rPr>
          <w:szCs w:val="21"/>
        </w:rPr>
      </w:pPr>
      <w:r w:rsidRPr="006E1EC5">
        <w:rPr>
          <w:szCs w:val="21"/>
        </w:rPr>
        <w:t>Option 2: Starting frequency + Ending frequency of the actual affected frequency range</w:t>
      </w:r>
    </w:p>
    <w:p w14:paraId="5225CD85" w14:textId="77777777" w:rsidR="006E1EC5" w:rsidRPr="006E1EC5" w:rsidRDefault="006E1EC5" w:rsidP="006E1EC5">
      <w:pPr>
        <w:numPr>
          <w:ilvl w:val="1"/>
          <w:numId w:val="5"/>
        </w:numPr>
        <w:tabs>
          <w:tab w:val="clear" w:pos="1440"/>
        </w:tabs>
        <w:rPr>
          <w:szCs w:val="21"/>
        </w:rPr>
      </w:pPr>
      <w:r w:rsidRPr="006E1EC5">
        <w:rPr>
          <w:szCs w:val="21"/>
        </w:rPr>
        <w:t>Option 2a: starting frequency + Bandwidth of the actual affected frequency range</w:t>
      </w:r>
    </w:p>
    <w:p w14:paraId="2915C7EB" w14:textId="77777777" w:rsidR="006E1EC5" w:rsidRDefault="006E1EC5" w:rsidP="00125613">
      <w:pPr>
        <w:rPr>
          <w:b/>
          <w:szCs w:val="21"/>
        </w:rPr>
      </w:pPr>
    </w:p>
    <w:p w14:paraId="3C2BCD99" w14:textId="56B22723" w:rsidR="004D550F" w:rsidRDefault="004A4CFB" w:rsidP="00125613">
      <w:pPr>
        <w:rPr>
          <w:szCs w:val="21"/>
        </w:rPr>
      </w:pPr>
      <w:r>
        <w:rPr>
          <w:szCs w:val="21"/>
        </w:rPr>
        <w:t xml:space="preserve">we believe that </w:t>
      </w:r>
      <w:r w:rsidR="004D5FC9">
        <w:rPr>
          <w:szCs w:val="21"/>
        </w:rPr>
        <w:t>f</w:t>
      </w:r>
      <w:r>
        <w:rPr>
          <w:szCs w:val="21"/>
        </w:rPr>
        <w:t xml:space="preserve">requency ranges based </w:t>
      </w:r>
      <w:r w:rsidR="004D5FC9">
        <w:rPr>
          <w:szCs w:val="21"/>
        </w:rPr>
        <w:t>FDM enhancements</w:t>
      </w:r>
      <w:r>
        <w:rPr>
          <w:szCs w:val="21"/>
        </w:rPr>
        <w:t xml:space="preserve"> in option 1, 2 and 2a</w:t>
      </w:r>
      <w:r w:rsidR="004D550F">
        <w:rPr>
          <w:szCs w:val="21"/>
        </w:rPr>
        <w:t xml:space="preserve"> </w:t>
      </w:r>
      <w:r w:rsidR="004D550F">
        <w:rPr>
          <w:rFonts w:eastAsia="DengXian"/>
        </w:rPr>
        <w:t>where bandwidth is explicitly indicated by the UE in MHz</w:t>
      </w:r>
      <w:r>
        <w:rPr>
          <w:szCs w:val="21"/>
        </w:rPr>
        <w:t xml:space="preserve"> </w:t>
      </w:r>
      <w:r w:rsidR="004D550F">
        <w:rPr>
          <w:rFonts w:eastAsia="DengXian"/>
        </w:rPr>
        <w:t xml:space="preserve">or where </w:t>
      </w:r>
      <w:r w:rsidR="004D550F">
        <w:rPr>
          <w:rFonts w:eastAsia="DengXian" w:cs="Arial"/>
          <w:szCs w:val="20"/>
        </w:rPr>
        <w:t xml:space="preserve">the start and end frequencies </w:t>
      </w:r>
      <w:r w:rsidR="004D550F" w:rsidRPr="006E6A8D">
        <w:rPr>
          <w:rFonts w:eastAsia="DengXian" w:cs="Arial"/>
          <w:szCs w:val="20"/>
        </w:rPr>
        <w:t>of the actual affected frequency range</w:t>
      </w:r>
      <w:r w:rsidR="004D550F">
        <w:rPr>
          <w:rFonts w:eastAsia="DengXian" w:cs="Arial"/>
          <w:szCs w:val="20"/>
        </w:rPr>
        <w:t xml:space="preserve"> is indicated by the UE </w:t>
      </w:r>
      <w:r w:rsidR="004D5FC9">
        <w:rPr>
          <w:szCs w:val="21"/>
        </w:rPr>
        <w:t xml:space="preserve">are the ones that can clearly work for both serving and non-serving frequencies and for </w:t>
      </w:r>
      <w:r w:rsidR="004D5FC9" w:rsidRPr="004D5FC9">
        <w:rPr>
          <w:szCs w:val="21"/>
        </w:rPr>
        <w:t>EN-DC/NR-DC</w:t>
      </w:r>
      <w:r w:rsidR="004D5FC9">
        <w:rPr>
          <w:szCs w:val="21"/>
        </w:rPr>
        <w:t xml:space="preserve"> scenarios</w:t>
      </w:r>
      <w:r w:rsidR="00E37038">
        <w:rPr>
          <w:szCs w:val="21"/>
        </w:rPr>
        <w:t xml:space="preserve"> </w:t>
      </w:r>
      <w:r w:rsidR="00E37038">
        <w:rPr>
          <w:rFonts w:eastAsia="DengXian" w:cs="Arial"/>
          <w:szCs w:val="20"/>
        </w:rPr>
        <w:t>and will be in line with the previous agreements</w:t>
      </w:r>
      <w:r w:rsidR="004D5FC9">
        <w:rPr>
          <w:szCs w:val="21"/>
        </w:rPr>
        <w:t xml:space="preserve">. </w:t>
      </w:r>
    </w:p>
    <w:p w14:paraId="4C6957AB" w14:textId="77777777" w:rsidR="004D550F" w:rsidRDefault="004D550F" w:rsidP="00125613">
      <w:pPr>
        <w:rPr>
          <w:szCs w:val="21"/>
        </w:rPr>
      </w:pPr>
    </w:p>
    <w:p w14:paraId="5734DDE3" w14:textId="4515641C" w:rsidR="004A4CFB" w:rsidRDefault="004D5FC9" w:rsidP="00125613">
      <w:pPr>
        <w:rPr>
          <w:szCs w:val="21"/>
        </w:rPr>
      </w:pPr>
      <w:r>
        <w:rPr>
          <w:szCs w:val="21"/>
        </w:rPr>
        <w:t xml:space="preserve">Additionally, </w:t>
      </w:r>
      <w:r w:rsidR="005A1BCC">
        <w:rPr>
          <w:szCs w:val="21"/>
        </w:rPr>
        <w:t xml:space="preserve">comparing </w:t>
      </w:r>
      <w:r>
        <w:rPr>
          <w:szCs w:val="21"/>
        </w:rPr>
        <w:t>Option 1</w:t>
      </w:r>
      <w:r w:rsidR="005A1BCC">
        <w:rPr>
          <w:szCs w:val="21"/>
        </w:rPr>
        <w:t xml:space="preserve"> and 2a, </w:t>
      </w:r>
      <w:r w:rsidR="00E37038">
        <w:rPr>
          <w:szCs w:val="21"/>
        </w:rPr>
        <w:t xml:space="preserve">we understand that </w:t>
      </w:r>
      <w:r w:rsidR="005A1BCC">
        <w:rPr>
          <w:szCs w:val="21"/>
        </w:rPr>
        <w:t>Option 1</w:t>
      </w:r>
      <w:r>
        <w:rPr>
          <w:szCs w:val="21"/>
        </w:rPr>
        <w:t xml:space="preserve"> is the natural extension of the existing FDM Solution in NR that involves the use of the center frequency</w:t>
      </w:r>
      <w:r w:rsidR="00E37038">
        <w:rPr>
          <w:szCs w:val="21"/>
        </w:rPr>
        <w:t xml:space="preserve"> and </w:t>
      </w:r>
      <w:r w:rsidR="008337C6">
        <w:rPr>
          <w:szCs w:val="21"/>
        </w:rPr>
        <w:t>the bandwidth</w:t>
      </w:r>
      <w:r w:rsidR="004D550F">
        <w:rPr>
          <w:szCs w:val="21"/>
        </w:rPr>
        <w:t xml:space="preserve"> in MHz</w:t>
      </w:r>
      <w:r w:rsidR="00EA620A">
        <w:rPr>
          <w:szCs w:val="21"/>
        </w:rPr>
        <w:t xml:space="preserve">, which </w:t>
      </w:r>
      <w:r w:rsidR="005A1BCC">
        <w:rPr>
          <w:szCs w:val="21"/>
        </w:rPr>
        <w:t xml:space="preserve">also </w:t>
      </w:r>
      <w:r w:rsidR="00EA620A">
        <w:rPr>
          <w:szCs w:val="21"/>
        </w:rPr>
        <w:t xml:space="preserve">means the </w:t>
      </w:r>
      <w:r w:rsidR="004D550F">
        <w:rPr>
          <w:szCs w:val="21"/>
        </w:rPr>
        <w:t xml:space="preserve">that the </w:t>
      </w:r>
      <w:proofErr w:type="spellStart"/>
      <w:r w:rsidR="004D550F">
        <w:rPr>
          <w:szCs w:val="21"/>
        </w:rPr>
        <w:t>signa</w:t>
      </w:r>
      <w:r w:rsidR="00922BB6">
        <w:rPr>
          <w:szCs w:val="21"/>
        </w:rPr>
        <w:t>l</w:t>
      </w:r>
      <w:r w:rsidR="004D550F">
        <w:rPr>
          <w:szCs w:val="21"/>
        </w:rPr>
        <w:t>ling</w:t>
      </w:r>
      <w:proofErr w:type="spellEnd"/>
      <w:r w:rsidR="004D550F">
        <w:rPr>
          <w:szCs w:val="21"/>
        </w:rPr>
        <w:t xml:space="preserve"> overhead</w:t>
      </w:r>
      <w:r w:rsidR="005A1BCC">
        <w:rPr>
          <w:szCs w:val="21"/>
        </w:rPr>
        <w:t xml:space="preserve"> </w:t>
      </w:r>
      <w:r w:rsidR="004D550F">
        <w:rPr>
          <w:szCs w:val="21"/>
        </w:rPr>
        <w:t xml:space="preserve">for </w:t>
      </w:r>
      <w:r w:rsidR="005A1BCC">
        <w:rPr>
          <w:szCs w:val="21"/>
        </w:rPr>
        <w:t xml:space="preserve">Option 1 (26 bits) </w:t>
      </w:r>
      <w:r w:rsidR="004D550F">
        <w:rPr>
          <w:szCs w:val="21"/>
        </w:rPr>
        <w:t>will be lower</w:t>
      </w:r>
      <w:r w:rsidR="005A1BCC">
        <w:rPr>
          <w:szCs w:val="21"/>
        </w:rPr>
        <w:t xml:space="preserve"> compared to Option 2</w:t>
      </w:r>
      <w:r w:rsidR="004D550F">
        <w:rPr>
          <w:szCs w:val="21"/>
        </w:rPr>
        <w:t xml:space="preserve"> </w:t>
      </w:r>
      <w:r w:rsidR="005A1BCC">
        <w:rPr>
          <w:szCs w:val="21"/>
        </w:rPr>
        <w:t xml:space="preserve">(44 bits). </w:t>
      </w:r>
      <w:r w:rsidR="008337C6">
        <w:rPr>
          <w:szCs w:val="21"/>
        </w:rPr>
        <w:t>Hence,</w:t>
      </w:r>
      <w:r>
        <w:rPr>
          <w:szCs w:val="21"/>
        </w:rPr>
        <w:t xml:space="preserve"> we </w:t>
      </w:r>
      <w:r w:rsidR="008337C6">
        <w:rPr>
          <w:szCs w:val="21"/>
        </w:rPr>
        <w:t xml:space="preserve">suggest RAN 2 to adopt Option 1 for the FDM enhancements for R18. </w:t>
      </w:r>
      <w:r w:rsidR="00E37038">
        <w:rPr>
          <w:szCs w:val="21"/>
        </w:rPr>
        <w:t>Of course,</w:t>
      </w:r>
      <w:r w:rsidR="005A1BCC">
        <w:rPr>
          <w:szCs w:val="21"/>
        </w:rPr>
        <w:t xml:space="preserve"> </w:t>
      </w:r>
      <w:r w:rsidR="00E37038">
        <w:rPr>
          <w:szCs w:val="21"/>
        </w:rPr>
        <w:t xml:space="preserve">we understand that </w:t>
      </w:r>
      <w:r w:rsidR="005A1BCC">
        <w:rPr>
          <w:szCs w:val="21"/>
        </w:rPr>
        <w:t xml:space="preserve">the bandwidth values </w:t>
      </w:r>
      <w:r w:rsidR="00E37038">
        <w:rPr>
          <w:szCs w:val="21"/>
        </w:rPr>
        <w:t xml:space="preserve">are not exact as in option 2 but </w:t>
      </w:r>
      <w:r w:rsidR="005A1BCC">
        <w:rPr>
          <w:szCs w:val="21"/>
        </w:rPr>
        <w:t xml:space="preserve">can be </w:t>
      </w:r>
      <w:r w:rsidR="00E37038">
        <w:rPr>
          <w:szCs w:val="21"/>
        </w:rPr>
        <w:t>fine-tuned</w:t>
      </w:r>
      <w:r w:rsidR="005A1BCC">
        <w:rPr>
          <w:szCs w:val="21"/>
        </w:rPr>
        <w:t xml:space="preserve"> </w:t>
      </w:r>
      <w:r w:rsidR="00E37038">
        <w:rPr>
          <w:szCs w:val="21"/>
        </w:rPr>
        <w:t xml:space="preserve">to cover all the scenarios involving </w:t>
      </w:r>
      <w:r w:rsidR="00922BB6" w:rsidRPr="00E37038">
        <w:rPr>
          <w:szCs w:val="21"/>
        </w:rPr>
        <w:t>Wi-Fi</w:t>
      </w:r>
      <w:r w:rsidR="00E37038" w:rsidRPr="00E37038">
        <w:rPr>
          <w:szCs w:val="21"/>
        </w:rPr>
        <w:t>, GNSS</w:t>
      </w:r>
      <w:r w:rsidR="00E37038">
        <w:rPr>
          <w:szCs w:val="21"/>
        </w:rPr>
        <w:t>, BT.</w:t>
      </w:r>
    </w:p>
    <w:p w14:paraId="2A3EE9EB" w14:textId="4EFCF6D3" w:rsidR="004D550F" w:rsidRDefault="004D550F" w:rsidP="00125613">
      <w:pPr>
        <w:rPr>
          <w:szCs w:val="21"/>
        </w:rPr>
      </w:pPr>
    </w:p>
    <w:p w14:paraId="63351230" w14:textId="34C64CF4" w:rsidR="008337C6" w:rsidRDefault="008337C6" w:rsidP="008337C6">
      <w:pPr>
        <w:rPr>
          <w:b/>
          <w:szCs w:val="21"/>
        </w:rPr>
      </w:pPr>
      <w:r w:rsidRPr="008337C6">
        <w:rPr>
          <w:b/>
          <w:szCs w:val="21"/>
        </w:rPr>
        <w:t xml:space="preserve">Proposal </w:t>
      </w:r>
      <w:r w:rsidR="00E37038">
        <w:rPr>
          <w:b/>
          <w:szCs w:val="21"/>
        </w:rPr>
        <w:t>1</w:t>
      </w:r>
      <w:r w:rsidR="005647EC">
        <w:rPr>
          <w:b/>
          <w:szCs w:val="21"/>
        </w:rPr>
        <w:t xml:space="preserve">- </w:t>
      </w:r>
      <w:r w:rsidR="00264A32">
        <w:rPr>
          <w:b/>
          <w:szCs w:val="21"/>
        </w:rPr>
        <w:t>A</w:t>
      </w:r>
      <w:r w:rsidRPr="008337C6">
        <w:rPr>
          <w:b/>
          <w:szCs w:val="21"/>
        </w:rPr>
        <w:t xml:space="preserve">dopt Option 1 - </w:t>
      </w:r>
      <w:r w:rsidRPr="008337C6">
        <w:rPr>
          <w:b/>
          <w:bCs/>
          <w:color w:val="000000" w:themeColor="text1"/>
        </w:rPr>
        <w:t xml:space="preserve">Central frequency + Bandwidth of the actual affected frequency range </w:t>
      </w:r>
      <w:r w:rsidRPr="008337C6">
        <w:rPr>
          <w:b/>
          <w:szCs w:val="21"/>
        </w:rPr>
        <w:t>for reporting for FDM enhancements in R18.</w:t>
      </w:r>
    </w:p>
    <w:p w14:paraId="4AB8BE6B" w14:textId="5D8D68DD" w:rsidR="00264A32" w:rsidRDefault="00264A32" w:rsidP="008337C6">
      <w:pPr>
        <w:rPr>
          <w:szCs w:val="21"/>
        </w:rPr>
      </w:pPr>
      <w:r>
        <w:rPr>
          <w:szCs w:val="21"/>
        </w:rPr>
        <w:lastRenderedPageBreak/>
        <w:t>After RAN2 ha</w:t>
      </w:r>
      <w:r w:rsidR="007F2670">
        <w:rPr>
          <w:szCs w:val="21"/>
        </w:rPr>
        <w:t>s</w:t>
      </w:r>
      <w:r>
        <w:rPr>
          <w:szCs w:val="21"/>
        </w:rPr>
        <w:t xml:space="preserve"> the conclusion on the detailed information that the UE should report for the IDC enhancement, it can be further discussed whether such detailed information can be applied for the UL CA case and the MR-DC case including both EN-DC and NR-DC. In our view, we think for each individual affected NR frequency included the affected frequency combination for NR UL CA and MR-DC case, if the UE can detect the actually affected NR frequency range, the UE can also report the central frequency and bandwidth of the affected individual NR frequency.</w:t>
      </w:r>
      <w:r w:rsidR="00F57034">
        <w:rPr>
          <w:szCs w:val="21"/>
        </w:rPr>
        <w:t xml:space="preserve"> </w:t>
      </w:r>
    </w:p>
    <w:p w14:paraId="28504BDF" w14:textId="77777777" w:rsidR="00264A32" w:rsidRDefault="00264A32" w:rsidP="008337C6">
      <w:pPr>
        <w:rPr>
          <w:szCs w:val="21"/>
        </w:rPr>
      </w:pPr>
    </w:p>
    <w:p w14:paraId="2B7B7491" w14:textId="69A762CC" w:rsidR="00264A32" w:rsidRPr="00264A32" w:rsidRDefault="00264A32" w:rsidP="008337C6">
      <w:pPr>
        <w:rPr>
          <w:b/>
          <w:szCs w:val="21"/>
        </w:rPr>
      </w:pPr>
      <w:r w:rsidRPr="00264A32">
        <w:rPr>
          <w:b/>
          <w:szCs w:val="21"/>
        </w:rPr>
        <w:t xml:space="preserve">Proposal 2: For the NR UL CA and MR-DC with intermodulation </w:t>
      </w:r>
      <w:r w:rsidR="000B5421" w:rsidRPr="000B5421">
        <w:rPr>
          <w:b/>
          <w:szCs w:val="21"/>
        </w:rPr>
        <w:t xml:space="preserve">distortion interference </w:t>
      </w:r>
      <w:r w:rsidR="000B5421">
        <w:rPr>
          <w:b/>
          <w:szCs w:val="21"/>
        </w:rPr>
        <w:t xml:space="preserve">related </w:t>
      </w:r>
      <w:r w:rsidRPr="00264A32">
        <w:rPr>
          <w:b/>
          <w:szCs w:val="21"/>
        </w:rPr>
        <w:t>IDC issue, if the UE can detect actually affected NR frequency range for each individual affected NR frequency included the affected frequency combination, the UE reports the central frequency + bandwidth to indicate the affected frequency range.</w:t>
      </w:r>
    </w:p>
    <w:p w14:paraId="1984FDAD" w14:textId="71017ACB" w:rsidR="008337C6" w:rsidRPr="00264A32" w:rsidRDefault="008337C6" w:rsidP="00155AC9">
      <w:pPr>
        <w:rPr>
          <w:lang w:eastAsia="ja-JP"/>
        </w:rPr>
      </w:pPr>
    </w:p>
    <w:p w14:paraId="37F4FB7D" w14:textId="7A205645" w:rsidR="00464F09" w:rsidRDefault="008702DF" w:rsidP="008E6327">
      <w:pPr>
        <w:pStyle w:val="Heading2"/>
      </w:pPr>
      <w:r>
        <w:rPr>
          <w:rFonts w:hint="eastAsia"/>
        </w:rPr>
        <w:t>2</w:t>
      </w:r>
      <w:r>
        <w:t>.</w:t>
      </w:r>
      <w:r w:rsidR="008337C6">
        <w:t>2</w:t>
      </w:r>
      <w:r>
        <w:t xml:space="preserve"> </w:t>
      </w:r>
      <w:proofErr w:type="spellStart"/>
      <w:r w:rsidR="00AD4E3F">
        <w:t>gNB</w:t>
      </w:r>
      <w:proofErr w:type="spellEnd"/>
      <w:r w:rsidR="00AD4E3F">
        <w:t xml:space="preserve"> configuration and additional details of UE reporting for IDC </w:t>
      </w:r>
    </w:p>
    <w:p w14:paraId="0F9EE208" w14:textId="04441FB8" w:rsidR="00511B99" w:rsidRDefault="00511B99" w:rsidP="00511B99">
      <w:pPr>
        <w:pStyle w:val="Heading4"/>
      </w:pPr>
      <w:r>
        <w:rPr>
          <w:rFonts w:hint="eastAsia"/>
        </w:rPr>
        <w:t>2</w:t>
      </w:r>
      <w:r>
        <w:t xml:space="preserve">.2.1 </w:t>
      </w:r>
      <w:proofErr w:type="spellStart"/>
      <w:r w:rsidRPr="00511B99">
        <w:t>gNB</w:t>
      </w:r>
      <w:proofErr w:type="spellEnd"/>
      <w:r w:rsidRPr="00511B99">
        <w:t xml:space="preserve"> configuration for IDC</w:t>
      </w:r>
      <w:r>
        <w:t xml:space="preserve"> </w:t>
      </w:r>
    </w:p>
    <w:p w14:paraId="5235EC6B" w14:textId="2409D790" w:rsidR="007504FA" w:rsidRDefault="003D25C9" w:rsidP="00160044">
      <w:pPr>
        <w:spacing w:beforeLines="50" w:before="120"/>
      </w:pPr>
      <w:r>
        <w:t>As discussed in section 2.1, i</w:t>
      </w:r>
      <w:r w:rsidR="008A40BE">
        <w:t xml:space="preserve">f the UE needs to report more granular indication of the affected frequencies, </w:t>
      </w:r>
      <w:r w:rsidR="004D5FC9">
        <w:t xml:space="preserve">we believe that </w:t>
      </w:r>
      <w:r w:rsidR="008A40BE">
        <w:t xml:space="preserve">the </w:t>
      </w:r>
      <w:proofErr w:type="spellStart"/>
      <w:r w:rsidR="008A40BE">
        <w:t>gNB</w:t>
      </w:r>
      <w:proofErr w:type="spellEnd"/>
      <w:r w:rsidR="008A40BE">
        <w:t xml:space="preserve"> should also provide more granular indication of the candidate serving frequencies for which the UE is requested </w:t>
      </w:r>
      <w:r w:rsidR="00557277">
        <w:t xml:space="preserve">to </w:t>
      </w:r>
      <w:r w:rsidR="008A40BE">
        <w:t xml:space="preserve">report the IDC issue. </w:t>
      </w:r>
      <w:r w:rsidR="007504FA">
        <w:t>Below we give the detailed analysis.</w:t>
      </w:r>
    </w:p>
    <w:p w14:paraId="2EEC9078" w14:textId="2F312410" w:rsidR="007504FA" w:rsidRDefault="008D0E80" w:rsidP="00160044">
      <w:pPr>
        <w:spacing w:beforeLines="50" w:before="120"/>
      </w:pPr>
      <w:r>
        <w:t xml:space="preserve">If the </w:t>
      </w:r>
      <w:proofErr w:type="spellStart"/>
      <w:r>
        <w:t>gNB</w:t>
      </w:r>
      <w:proofErr w:type="spellEnd"/>
      <w:r>
        <w:t xml:space="preserve"> only configures the </w:t>
      </w:r>
      <w:r w:rsidR="006B710C">
        <w:t xml:space="preserve">carrier </w:t>
      </w:r>
      <w:r>
        <w:t xml:space="preserve">frequency </w:t>
      </w:r>
      <w:r w:rsidR="006B710C">
        <w:t xml:space="preserve">indicated by ARFCN value in the candidate serving frequency list </w:t>
      </w:r>
      <w:r>
        <w:t xml:space="preserve">to the UE, </w:t>
      </w:r>
      <w:r w:rsidR="006B710C">
        <w:t xml:space="preserve">then we need to consider how the UE </w:t>
      </w:r>
      <w:r w:rsidR="00C214DA">
        <w:t xml:space="preserve">can </w:t>
      </w:r>
      <w:r w:rsidR="006B710C">
        <w:t xml:space="preserve">use this carrier frequency to decide whether to report the IDC assistance information when it detects the IDC problem for a </w:t>
      </w:r>
      <w:r w:rsidR="007504FA">
        <w:t xml:space="preserve">frequency range. </w:t>
      </w:r>
      <w:r w:rsidR="001943BC">
        <w:t>Two of such cases are shown in Figure 1.</w:t>
      </w:r>
    </w:p>
    <w:p w14:paraId="0B4135FC" w14:textId="5FC0B28D" w:rsidR="00C214DA" w:rsidRDefault="00C214DA" w:rsidP="00160044">
      <w:pPr>
        <w:spacing w:beforeLines="50" w:before="120"/>
      </w:pPr>
    </w:p>
    <w:p w14:paraId="7A1B3FBD" w14:textId="106701B9" w:rsidR="00014471" w:rsidRDefault="003C46A2" w:rsidP="00C214DA">
      <w:pPr>
        <w:pStyle w:val="Caption"/>
        <w:jc w:val="center"/>
      </w:pPr>
      <w:r>
        <w:rPr>
          <w:noProof/>
        </w:rPr>
        <w:drawing>
          <wp:inline distT="0" distB="0" distL="0" distR="0" wp14:anchorId="66E31FD1" wp14:editId="6907538C">
            <wp:extent cx="6219291" cy="147727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3009" cy="1497157"/>
                    </a:xfrm>
                    <a:prstGeom prst="rect">
                      <a:avLst/>
                    </a:prstGeom>
                    <a:noFill/>
                  </pic:spPr>
                </pic:pic>
              </a:graphicData>
            </a:graphic>
          </wp:inline>
        </w:drawing>
      </w:r>
    </w:p>
    <w:p w14:paraId="3F793E7D" w14:textId="42DA967A" w:rsidR="00C214DA" w:rsidRDefault="00C214DA" w:rsidP="00D63D27">
      <w:pPr>
        <w:pStyle w:val="Caption"/>
        <w:jc w:val="center"/>
      </w:pPr>
      <w:r>
        <w:t xml:space="preserve">Figure </w:t>
      </w:r>
      <w:r w:rsidR="00BC6546">
        <w:t>1</w:t>
      </w:r>
      <w:r>
        <w:t xml:space="preserve"> </w:t>
      </w:r>
      <w:r w:rsidR="00BC6546">
        <w:t>–</w:t>
      </w:r>
      <w:r>
        <w:t xml:space="preserve"> </w:t>
      </w:r>
      <w:r w:rsidR="00BC6546">
        <w:t xml:space="preserve">Case 1 - </w:t>
      </w:r>
      <w:r w:rsidR="00BC6546" w:rsidRPr="00BC6546">
        <w:t xml:space="preserve">the affected frequency range </w:t>
      </w:r>
      <w:r w:rsidR="00BC6546">
        <w:t>includes</w:t>
      </w:r>
      <w:r w:rsidR="00BC6546" w:rsidRPr="00BC6546">
        <w:t xml:space="preserve"> the center frequency</w:t>
      </w:r>
    </w:p>
    <w:p w14:paraId="57BA6653" w14:textId="22DB322A" w:rsidR="00B106ED" w:rsidRDefault="00947D66" w:rsidP="00160044">
      <w:pPr>
        <w:spacing w:beforeLines="50" w:before="120"/>
      </w:pPr>
      <w:bookmarkStart w:id="5" w:name="_GoBack"/>
      <w:r>
        <w:rPr>
          <w:noProof/>
        </w:rPr>
        <w:drawing>
          <wp:inline distT="0" distB="0" distL="0" distR="0" wp14:anchorId="45743D67" wp14:editId="0C5AF8BA">
            <wp:extent cx="6319554" cy="1539309"/>
            <wp:effectExtent l="0" t="0" r="508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9366" cy="1556314"/>
                    </a:xfrm>
                    <a:prstGeom prst="rect">
                      <a:avLst/>
                    </a:prstGeom>
                    <a:noFill/>
                  </pic:spPr>
                </pic:pic>
              </a:graphicData>
            </a:graphic>
          </wp:inline>
        </w:drawing>
      </w:r>
      <w:bookmarkEnd w:id="5"/>
    </w:p>
    <w:p w14:paraId="5ABE0E3B" w14:textId="77777777" w:rsidR="00D63D27" w:rsidRDefault="00D63D27" w:rsidP="00160044">
      <w:pPr>
        <w:spacing w:beforeLines="50" w:before="120"/>
      </w:pPr>
    </w:p>
    <w:p w14:paraId="2970D8ED" w14:textId="2119E7FA" w:rsidR="00BC6546" w:rsidRDefault="00BC6546" w:rsidP="00BC6546">
      <w:pPr>
        <w:pStyle w:val="Caption"/>
        <w:jc w:val="center"/>
      </w:pPr>
      <w:r>
        <w:t xml:space="preserve">Figure 1 – Case 2 - </w:t>
      </w:r>
      <w:r w:rsidRPr="00BC6546">
        <w:t xml:space="preserve">the affected frequency range </w:t>
      </w:r>
      <w:r>
        <w:t>does not include</w:t>
      </w:r>
      <w:r w:rsidRPr="00BC6546">
        <w:t xml:space="preserve"> the center frequency</w:t>
      </w:r>
    </w:p>
    <w:p w14:paraId="79E51D16" w14:textId="77777777" w:rsidR="00B106ED" w:rsidRPr="00B106ED" w:rsidRDefault="00B106ED" w:rsidP="00D63D27"/>
    <w:p w14:paraId="6B85A335" w14:textId="6EEBE340" w:rsidR="007504FA" w:rsidRPr="000165E1" w:rsidRDefault="007504FA" w:rsidP="00D63D27">
      <w:pPr>
        <w:pStyle w:val="ListParagraph"/>
        <w:numPr>
          <w:ilvl w:val="0"/>
          <w:numId w:val="19"/>
        </w:numPr>
        <w:spacing w:after="240" w:afterAutospacing="0" w:line="240" w:lineRule="auto"/>
        <w:ind w:leftChars="0" w:left="357" w:hanging="357"/>
        <w:rPr>
          <w:rFonts w:ascii="Times New Roman" w:hAnsi="Times New Roman"/>
          <w:sz w:val="21"/>
          <w:szCs w:val="21"/>
        </w:rPr>
      </w:pPr>
      <w:r w:rsidRPr="000165E1">
        <w:rPr>
          <w:rFonts w:ascii="Times New Roman" w:hAnsi="Times New Roman"/>
          <w:sz w:val="21"/>
          <w:szCs w:val="21"/>
        </w:rPr>
        <w:t xml:space="preserve">One option is </w:t>
      </w:r>
      <w:r w:rsidR="00D23D28" w:rsidRPr="000165E1">
        <w:rPr>
          <w:rFonts w:ascii="Times New Roman" w:hAnsi="Times New Roman"/>
          <w:sz w:val="21"/>
          <w:szCs w:val="21"/>
        </w:rPr>
        <w:t xml:space="preserve">only </w:t>
      </w:r>
      <w:r w:rsidRPr="000165E1">
        <w:rPr>
          <w:rFonts w:ascii="Times New Roman" w:hAnsi="Times New Roman"/>
          <w:sz w:val="21"/>
          <w:szCs w:val="21"/>
        </w:rPr>
        <w:t xml:space="preserve">if the affected frequency range covers this carrier frequency, then the UE includes this frequency range in the IDC assistance information, otherwise the UE does not include this frequency range in the IDC assistance information. </w:t>
      </w:r>
      <w:r w:rsidR="001943BC" w:rsidRPr="000165E1">
        <w:rPr>
          <w:rFonts w:ascii="Times New Roman" w:hAnsi="Times New Roman"/>
          <w:sz w:val="21"/>
          <w:szCs w:val="21"/>
        </w:rPr>
        <w:t xml:space="preserve">For case 1 in the Figure 1, there is no problem. </w:t>
      </w:r>
      <w:r w:rsidRPr="000165E1">
        <w:rPr>
          <w:rFonts w:ascii="Times New Roman" w:hAnsi="Times New Roman"/>
          <w:sz w:val="21"/>
          <w:szCs w:val="21"/>
        </w:rPr>
        <w:t xml:space="preserve">However, </w:t>
      </w:r>
      <w:r w:rsidR="001943BC" w:rsidRPr="000165E1">
        <w:rPr>
          <w:rFonts w:ascii="Times New Roman" w:hAnsi="Times New Roman"/>
          <w:sz w:val="21"/>
          <w:szCs w:val="21"/>
        </w:rPr>
        <w:t xml:space="preserve">for the case 2 in the Figure 1, </w:t>
      </w:r>
      <w:r w:rsidRPr="000165E1">
        <w:rPr>
          <w:rFonts w:ascii="Times New Roman" w:hAnsi="Times New Roman"/>
          <w:sz w:val="21"/>
          <w:szCs w:val="21"/>
        </w:rPr>
        <w:t xml:space="preserve">with this option, the UE </w:t>
      </w:r>
      <w:r w:rsidR="001943BC" w:rsidRPr="000165E1">
        <w:rPr>
          <w:rFonts w:ascii="Times New Roman" w:hAnsi="Times New Roman"/>
          <w:sz w:val="21"/>
          <w:szCs w:val="21"/>
        </w:rPr>
        <w:t>will miss to report this</w:t>
      </w:r>
      <w:r w:rsidRPr="000165E1">
        <w:rPr>
          <w:rFonts w:ascii="Times New Roman" w:hAnsi="Times New Roman"/>
          <w:sz w:val="21"/>
          <w:szCs w:val="21"/>
        </w:rPr>
        <w:t xml:space="preserve"> affected frequency range to the </w:t>
      </w:r>
      <w:proofErr w:type="spellStart"/>
      <w:r w:rsidRPr="000165E1">
        <w:rPr>
          <w:rFonts w:ascii="Times New Roman" w:hAnsi="Times New Roman"/>
          <w:sz w:val="21"/>
          <w:szCs w:val="21"/>
        </w:rPr>
        <w:t>gNB</w:t>
      </w:r>
      <w:proofErr w:type="spellEnd"/>
      <w:r w:rsidR="001943BC" w:rsidRPr="000165E1">
        <w:rPr>
          <w:rFonts w:ascii="Times New Roman" w:eastAsiaTheme="minorEastAsia" w:hAnsi="Times New Roman"/>
          <w:sz w:val="21"/>
          <w:szCs w:val="21"/>
        </w:rPr>
        <w:t>.</w:t>
      </w:r>
    </w:p>
    <w:p w14:paraId="37099B21" w14:textId="6458EE9D" w:rsidR="006B710C" w:rsidRPr="00D63D27" w:rsidRDefault="007504FA" w:rsidP="00D63D27">
      <w:pPr>
        <w:pStyle w:val="ListParagraph"/>
        <w:numPr>
          <w:ilvl w:val="0"/>
          <w:numId w:val="19"/>
        </w:numPr>
        <w:spacing w:after="0" w:afterAutospacing="0" w:line="240" w:lineRule="auto"/>
        <w:ind w:leftChars="0" w:left="357" w:hanging="357"/>
        <w:rPr>
          <w:rFonts w:ascii="Times New Roman" w:hAnsi="Times New Roman"/>
          <w:sz w:val="21"/>
          <w:szCs w:val="21"/>
        </w:rPr>
      </w:pPr>
      <w:r w:rsidRPr="00AB6183">
        <w:rPr>
          <w:rFonts w:ascii="Times New Roman" w:hAnsi="Times New Roman"/>
          <w:sz w:val="21"/>
          <w:szCs w:val="21"/>
        </w:rPr>
        <w:t xml:space="preserve">Another option is </w:t>
      </w:r>
      <w:r w:rsidR="00BC6546" w:rsidRPr="00AB6183">
        <w:rPr>
          <w:rFonts w:ascii="Times New Roman" w:hAnsi="Times New Roman"/>
          <w:sz w:val="21"/>
          <w:szCs w:val="21"/>
        </w:rPr>
        <w:t xml:space="preserve">that it is </w:t>
      </w:r>
      <w:r w:rsidRPr="001902C9">
        <w:rPr>
          <w:rFonts w:ascii="Times New Roman" w:hAnsi="Times New Roman"/>
          <w:sz w:val="21"/>
          <w:szCs w:val="21"/>
        </w:rPr>
        <w:t xml:space="preserve">up to UE implementation to decide whether to include this frequency range in the IDC </w:t>
      </w:r>
      <w:r w:rsidR="00DB1B91" w:rsidRPr="001902C9">
        <w:rPr>
          <w:rFonts w:ascii="Times New Roman" w:hAnsi="Times New Roman"/>
          <w:sz w:val="21"/>
          <w:szCs w:val="21"/>
        </w:rPr>
        <w:t xml:space="preserve">assistance information. </w:t>
      </w:r>
      <w:r w:rsidR="00E82EFF" w:rsidRPr="001902C9">
        <w:rPr>
          <w:rFonts w:ascii="Times New Roman" w:hAnsi="Times New Roman"/>
          <w:sz w:val="21"/>
          <w:szCs w:val="21"/>
        </w:rPr>
        <w:t>However,</w:t>
      </w:r>
      <w:r w:rsidR="00DB1B91" w:rsidRPr="001902C9">
        <w:rPr>
          <w:rFonts w:ascii="Times New Roman" w:hAnsi="Times New Roman"/>
          <w:sz w:val="21"/>
          <w:szCs w:val="21"/>
        </w:rPr>
        <w:t xml:space="preserve"> with this </w:t>
      </w:r>
      <w:r w:rsidR="00E82EFF" w:rsidRPr="001902C9">
        <w:rPr>
          <w:rFonts w:ascii="Times New Roman" w:hAnsi="Times New Roman"/>
          <w:sz w:val="21"/>
          <w:szCs w:val="21"/>
        </w:rPr>
        <w:t xml:space="preserve">option, the carrier frequency configured by the </w:t>
      </w:r>
      <w:proofErr w:type="spellStart"/>
      <w:r w:rsidR="00E82EFF" w:rsidRPr="001902C9">
        <w:rPr>
          <w:rFonts w:ascii="Times New Roman" w:hAnsi="Times New Roman"/>
          <w:sz w:val="21"/>
          <w:szCs w:val="21"/>
        </w:rPr>
        <w:t>gNB</w:t>
      </w:r>
      <w:proofErr w:type="spellEnd"/>
      <w:r w:rsidR="00E82EFF" w:rsidRPr="001902C9">
        <w:rPr>
          <w:rFonts w:ascii="Times New Roman" w:hAnsi="Times New Roman"/>
          <w:sz w:val="21"/>
          <w:szCs w:val="21"/>
        </w:rPr>
        <w:t xml:space="preserve"> as the candidate serving frequency does not provide any guidance for the UE at all, and may result in</w:t>
      </w:r>
      <w:r w:rsidR="00E82EFF" w:rsidRPr="00D63D27">
        <w:rPr>
          <w:rFonts w:ascii="Times New Roman" w:hAnsi="Times New Roman"/>
          <w:sz w:val="21"/>
          <w:szCs w:val="21"/>
        </w:rPr>
        <w:t xml:space="preserve"> unnecessary </w:t>
      </w:r>
      <w:r w:rsidR="00E82EFF" w:rsidRPr="00D63D27">
        <w:rPr>
          <w:rFonts w:ascii="Times New Roman" w:hAnsi="Times New Roman"/>
          <w:sz w:val="21"/>
          <w:szCs w:val="21"/>
        </w:rPr>
        <w:lastRenderedPageBreak/>
        <w:t>report of frequency range</w:t>
      </w:r>
      <w:r w:rsidR="00BC6546" w:rsidRPr="00D63D27">
        <w:rPr>
          <w:rFonts w:ascii="Times New Roman" w:hAnsi="Times New Roman"/>
          <w:sz w:val="21"/>
          <w:szCs w:val="21"/>
        </w:rPr>
        <w:t xml:space="preserve"> being sent by the UE</w:t>
      </w:r>
      <w:r w:rsidR="00E82EFF" w:rsidRPr="00D63D27">
        <w:rPr>
          <w:rFonts w:ascii="Times New Roman" w:hAnsi="Times New Roman"/>
          <w:sz w:val="21"/>
          <w:szCs w:val="21"/>
        </w:rPr>
        <w:t xml:space="preserve"> that is not </w:t>
      </w:r>
      <w:r w:rsidR="00BC6546" w:rsidRPr="00D63D27">
        <w:rPr>
          <w:rFonts w:ascii="Times New Roman" w:hAnsi="Times New Roman"/>
          <w:sz w:val="21"/>
          <w:szCs w:val="21"/>
        </w:rPr>
        <w:t xml:space="preserve">of </w:t>
      </w:r>
      <w:r w:rsidR="00E82EFF" w:rsidRPr="00D63D27">
        <w:rPr>
          <w:rFonts w:ascii="Times New Roman" w:hAnsi="Times New Roman"/>
          <w:sz w:val="21"/>
          <w:szCs w:val="21"/>
        </w:rPr>
        <w:t xml:space="preserve">interest </w:t>
      </w:r>
      <w:r w:rsidR="00BC6546" w:rsidRPr="00D63D27">
        <w:rPr>
          <w:rFonts w:ascii="Times New Roman" w:hAnsi="Times New Roman"/>
          <w:sz w:val="21"/>
          <w:szCs w:val="21"/>
        </w:rPr>
        <w:t xml:space="preserve">to </w:t>
      </w:r>
      <w:r w:rsidR="00E82EFF" w:rsidRPr="00D63D27">
        <w:rPr>
          <w:rFonts w:ascii="Times New Roman" w:hAnsi="Times New Roman"/>
          <w:sz w:val="21"/>
          <w:szCs w:val="21"/>
        </w:rPr>
        <w:t xml:space="preserve">the </w:t>
      </w:r>
      <w:proofErr w:type="spellStart"/>
      <w:r w:rsidR="00E82EFF" w:rsidRPr="00D63D27">
        <w:rPr>
          <w:rFonts w:ascii="Times New Roman" w:hAnsi="Times New Roman"/>
          <w:sz w:val="21"/>
          <w:szCs w:val="21"/>
        </w:rPr>
        <w:t>gNB</w:t>
      </w:r>
      <w:proofErr w:type="spellEnd"/>
      <w:r w:rsidR="00E82EFF" w:rsidRPr="00D63D27">
        <w:rPr>
          <w:rFonts w:ascii="Times New Roman" w:hAnsi="Times New Roman"/>
          <w:sz w:val="21"/>
          <w:szCs w:val="21"/>
        </w:rPr>
        <w:t>.</w:t>
      </w:r>
      <w:r w:rsidRPr="00D63D27">
        <w:rPr>
          <w:rFonts w:ascii="Times New Roman" w:hAnsi="Times New Roman"/>
          <w:sz w:val="21"/>
          <w:szCs w:val="21"/>
        </w:rPr>
        <w:t xml:space="preserve"> </w:t>
      </w:r>
      <w:r w:rsidR="00BC6546" w:rsidRPr="00D63D27">
        <w:rPr>
          <w:rFonts w:ascii="Times New Roman" w:hAnsi="Times New Roman"/>
          <w:sz w:val="21"/>
          <w:szCs w:val="21"/>
        </w:rPr>
        <w:t>This will cause excessive signalling and waste of air interface resources</w:t>
      </w:r>
      <w:r w:rsidR="000165E1" w:rsidRPr="00D63D27">
        <w:rPr>
          <w:rFonts w:ascii="Times New Roman" w:hAnsi="Times New Roman"/>
          <w:sz w:val="21"/>
          <w:szCs w:val="21"/>
        </w:rPr>
        <w:t>.</w:t>
      </w:r>
      <w:r w:rsidR="00BC6546" w:rsidRPr="00D63D27">
        <w:rPr>
          <w:rFonts w:ascii="Times New Roman" w:hAnsi="Times New Roman"/>
          <w:sz w:val="21"/>
          <w:szCs w:val="21"/>
        </w:rPr>
        <w:t xml:space="preserve"> </w:t>
      </w:r>
      <w:r w:rsidRPr="00D63D27">
        <w:rPr>
          <w:rFonts w:ascii="Times New Roman" w:hAnsi="Times New Roman"/>
          <w:sz w:val="21"/>
          <w:szCs w:val="21"/>
        </w:rPr>
        <w:t xml:space="preserve"> </w:t>
      </w:r>
    </w:p>
    <w:p w14:paraId="7B167B9C" w14:textId="42C6F0E0" w:rsidR="00AD4E3F" w:rsidRDefault="00C848F9" w:rsidP="00160044">
      <w:pPr>
        <w:spacing w:beforeLines="50" w:before="120"/>
      </w:pPr>
      <w:r>
        <w:t xml:space="preserve">So, </w:t>
      </w:r>
      <w:r w:rsidR="00C74114">
        <w:t xml:space="preserve">based on the above analysis, we think </w:t>
      </w:r>
      <w:r>
        <w:t>i</w:t>
      </w:r>
      <w:r w:rsidR="00511B99" w:rsidRPr="00511B99">
        <w:t>n addition to configur</w:t>
      </w:r>
      <w:r w:rsidR="00511B99">
        <w:t xml:space="preserve">ing </w:t>
      </w:r>
      <w:r w:rsidR="00511B99" w:rsidRPr="00511B99">
        <w:t xml:space="preserve">the candidate serving frequency list (center frequency), the </w:t>
      </w:r>
      <w:proofErr w:type="spellStart"/>
      <w:r w:rsidR="00511B99" w:rsidRPr="00511B99">
        <w:t>gNB</w:t>
      </w:r>
      <w:proofErr w:type="spellEnd"/>
      <w:r w:rsidR="00511B99" w:rsidRPr="00511B99">
        <w:t xml:space="preserve"> </w:t>
      </w:r>
      <w:r>
        <w:t xml:space="preserve">should </w:t>
      </w:r>
      <w:r w:rsidR="00511B99" w:rsidRPr="00511B99">
        <w:t xml:space="preserve">also configure the candidate bandwidth </w:t>
      </w:r>
      <w:r>
        <w:t xml:space="preserve">for each of the candidate serving frequency, </w:t>
      </w:r>
      <w:r w:rsidR="00511B99" w:rsidRPr="00511B99">
        <w:t xml:space="preserve">which </w:t>
      </w:r>
      <w:r>
        <w:t xml:space="preserve">is used to indicate the frequency range </w:t>
      </w:r>
      <w:r w:rsidR="00511B99" w:rsidRPr="00511B99">
        <w:t>the UE is request</w:t>
      </w:r>
      <w:r w:rsidR="00511B99">
        <w:t>ed</w:t>
      </w:r>
      <w:r w:rsidR="00511B99" w:rsidRPr="00511B99">
        <w:t xml:space="preserve"> to report IDC issues</w:t>
      </w:r>
      <w:r w:rsidR="00511B99">
        <w:t xml:space="preserve"> as shown in Figure </w:t>
      </w:r>
      <w:r w:rsidR="00D23D28">
        <w:t>2</w:t>
      </w:r>
      <w:r w:rsidR="00511B99">
        <w:t>.</w:t>
      </w:r>
      <w:r>
        <w:t xml:space="preserve"> </w:t>
      </w:r>
      <w:r w:rsidR="00365020">
        <w:t>W</w:t>
      </w:r>
      <w:r w:rsidR="00C74114">
        <w:t xml:space="preserve">hen the UE detects the IDC problem for a frequency range, </w:t>
      </w:r>
      <w:r w:rsidR="003877F2">
        <w:t xml:space="preserve">only if this frequency range is within the range indicated by the dotted box in the Figure </w:t>
      </w:r>
      <w:r w:rsidR="00BC6546">
        <w:t>2</w:t>
      </w:r>
      <w:r w:rsidR="003877F2">
        <w:t>, the UE will include this frequency range in th</w:t>
      </w:r>
      <w:r w:rsidR="003877F2">
        <w:rPr>
          <w:rFonts w:hint="eastAsia"/>
        </w:rPr>
        <w:t>e</w:t>
      </w:r>
      <w:r w:rsidR="003877F2">
        <w:t xml:space="preserve"> IDC assistance information.</w:t>
      </w:r>
      <w:r w:rsidR="00365020">
        <w:t xml:space="preserve"> Then the issues as analyzed in the above two options will not exist.</w:t>
      </w:r>
    </w:p>
    <w:p w14:paraId="1C0C00A5" w14:textId="14581DB2" w:rsidR="00511B99" w:rsidRDefault="00511B99" w:rsidP="00160044">
      <w:pPr>
        <w:spacing w:beforeLines="50" w:before="120"/>
      </w:pPr>
      <w:r>
        <w:rPr>
          <w:noProof/>
        </w:rPr>
        <w:drawing>
          <wp:inline distT="0" distB="0" distL="0" distR="0" wp14:anchorId="1CDCA7FD" wp14:editId="468A0450">
            <wp:extent cx="6155678" cy="955318"/>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0265" cy="963789"/>
                    </a:xfrm>
                    <a:prstGeom prst="rect">
                      <a:avLst/>
                    </a:prstGeom>
                    <a:noFill/>
                  </pic:spPr>
                </pic:pic>
              </a:graphicData>
            </a:graphic>
          </wp:inline>
        </w:drawing>
      </w:r>
    </w:p>
    <w:p w14:paraId="6A7FCED0" w14:textId="442DEDD5" w:rsidR="00511B99" w:rsidRDefault="00511B99" w:rsidP="00160044">
      <w:pPr>
        <w:spacing w:beforeLines="50" w:before="120"/>
      </w:pPr>
    </w:p>
    <w:p w14:paraId="65539CD9" w14:textId="67D0389B" w:rsidR="00511B99" w:rsidRDefault="00511B99" w:rsidP="00511B99">
      <w:pPr>
        <w:pStyle w:val="Caption"/>
        <w:jc w:val="center"/>
        <w:rPr>
          <w:b w:val="0"/>
        </w:rPr>
      </w:pPr>
      <w:r>
        <w:t xml:space="preserve">Figure </w:t>
      </w:r>
      <w:r w:rsidR="00D23D28">
        <w:t xml:space="preserve">2 </w:t>
      </w:r>
      <w:r w:rsidR="00A96D4C">
        <w:t xml:space="preserve">- </w:t>
      </w:r>
      <w:r>
        <w:t xml:space="preserve">Enhanced </w:t>
      </w:r>
      <w:proofErr w:type="spellStart"/>
      <w:r w:rsidRPr="00511B99">
        <w:t>gNB</w:t>
      </w:r>
      <w:proofErr w:type="spellEnd"/>
      <w:r w:rsidRPr="00511B99">
        <w:t xml:space="preserve"> configuration for IDC</w:t>
      </w:r>
      <w:r>
        <w:t xml:space="preserve"> </w:t>
      </w:r>
      <w:r w:rsidR="00A4233F">
        <w:t xml:space="preserve">including </w:t>
      </w:r>
      <w:r w:rsidRPr="00511B99">
        <w:t>candidate serving frequency list</w:t>
      </w:r>
      <w:r>
        <w:t xml:space="preserve"> and </w:t>
      </w:r>
      <w:r w:rsidRPr="00511B99">
        <w:t>candidate bandwidth</w:t>
      </w:r>
    </w:p>
    <w:p w14:paraId="31B2ABB1" w14:textId="4834E013" w:rsidR="005A118C" w:rsidRDefault="00122B1D" w:rsidP="00160044">
      <w:pPr>
        <w:spacing w:beforeLines="50" w:before="120"/>
        <w:rPr>
          <w:b/>
        </w:rPr>
      </w:pPr>
      <w:r w:rsidRPr="00122B1D">
        <w:rPr>
          <w:b/>
        </w:rPr>
        <w:t xml:space="preserve">Proposal </w:t>
      </w:r>
      <w:r w:rsidR="006777FA">
        <w:rPr>
          <w:b/>
        </w:rPr>
        <w:t>3</w:t>
      </w:r>
      <w:r w:rsidRPr="00122B1D">
        <w:rPr>
          <w:b/>
        </w:rPr>
        <w:t>:</w:t>
      </w:r>
      <w:r>
        <w:rPr>
          <w:b/>
        </w:rPr>
        <w:t xml:space="preserve"> </w:t>
      </w:r>
      <w:r w:rsidR="000A7772">
        <w:rPr>
          <w:b/>
        </w:rPr>
        <w:t xml:space="preserve">For each </w:t>
      </w:r>
      <w:r w:rsidRPr="00122B1D">
        <w:rPr>
          <w:b/>
        </w:rPr>
        <w:t xml:space="preserve">candidate serving frequency (center frequency), the </w:t>
      </w:r>
      <w:proofErr w:type="spellStart"/>
      <w:r w:rsidRPr="00122B1D">
        <w:rPr>
          <w:b/>
        </w:rPr>
        <w:t>gNB</w:t>
      </w:r>
      <w:proofErr w:type="spellEnd"/>
      <w:r w:rsidRPr="00122B1D">
        <w:rPr>
          <w:b/>
        </w:rPr>
        <w:t xml:space="preserve"> </w:t>
      </w:r>
      <w:r w:rsidR="000A7772">
        <w:rPr>
          <w:b/>
        </w:rPr>
        <w:t>will</w:t>
      </w:r>
      <w:r w:rsidR="000A7772" w:rsidRPr="00122B1D">
        <w:rPr>
          <w:b/>
        </w:rPr>
        <w:t xml:space="preserve"> </w:t>
      </w:r>
      <w:r w:rsidRPr="00122B1D">
        <w:rPr>
          <w:b/>
        </w:rPr>
        <w:t>configure the candidate bandwidth</w:t>
      </w:r>
      <w:r w:rsidR="00FC6B1A">
        <w:rPr>
          <w:b/>
        </w:rPr>
        <w:t xml:space="preserve">, the combination of </w:t>
      </w:r>
      <w:r w:rsidRPr="00122B1D">
        <w:rPr>
          <w:b/>
        </w:rPr>
        <w:t xml:space="preserve">which </w:t>
      </w:r>
      <w:r w:rsidR="000A7772">
        <w:rPr>
          <w:b/>
        </w:rPr>
        <w:t xml:space="preserve">is used to indicate the </w:t>
      </w:r>
      <w:r w:rsidR="000A7772" w:rsidRPr="000A7772">
        <w:rPr>
          <w:b/>
        </w:rPr>
        <w:t>frequency range</w:t>
      </w:r>
      <w:r w:rsidR="000A7772" w:rsidRPr="00122B1D">
        <w:rPr>
          <w:b/>
        </w:rPr>
        <w:t xml:space="preserve"> </w:t>
      </w:r>
      <w:r w:rsidR="000A7772">
        <w:rPr>
          <w:b/>
        </w:rPr>
        <w:t xml:space="preserve">of the corresponding candidate serving frequency </w:t>
      </w:r>
      <w:r w:rsidRPr="00122B1D">
        <w:rPr>
          <w:b/>
        </w:rPr>
        <w:t>the UE is request to report IDC issues</w:t>
      </w:r>
      <w:r w:rsidR="00B23ACD">
        <w:rPr>
          <w:b/>
        </w:rPr>
        <w:t>.</w:t>
      </w:r>
    </w:p>
    <w:p w14:paraId="2F850F4C" w14:textId="77777777" w:rsidR="00D63D27" w:rsidRDefault="00D63D27" w:rsidP="00160044">
      <w:pPr>
        <w:spacing w:beforeLines="50" w:before="120"/>
        <w:rPr>
          <w:b/>
        </w:rPr>
      </w:pPr>
    </w:p>
    <w:p w14:paraId="0B42666C" w14:textId="6CF40C2F" w:rsidR="00283073" w:rsidRDefault="00283073" w:rsidP="00283073">
      <w:pPr>
        <w:pStyle w:val="Heading4"/>
      </w:pPr>
      <w:r>
        <w:rPr>
          <w:rFonts w:hint="eastAsia"/>
        </w:rPr>
        <w:t>2</w:t>
      </w:r>
      <w:r>
        <w:t xml:space="preserve">.2.2 </w:t>
      </w:r>
      <w:r w:rsidR="00AD4E3F">
        <w:t xml:space="preserve">Additional details of </w:t>
      </w:r>
      <w:r w:rsidRPr="00283073">
        <w:rPr>
          <w:lang w:val="en-US"/>
        </w:rPr>
        <w:t xml:space="preserve">IDC </w:t>
      </w:r>
      <w:r>
        <w:rPr>
          <w:lang w:val="en-US"/>
        </w:rPr>
        <w:t xml:space="preserve">UE </w:t>
      </w:r>
      <w:r w:rsidRPr="00283073">
        <w:rPr>
          <w:lang w:val="en-US"/>
        </w:rPr>
        <w:t xml:space="preserve">assistance information </w:t>
      </w:r>
      <w:r>
        <w:rPr>
          <w:lang w:val="en-US"/>
        </w:rPr>
        <w:t>reporting</w:t>
      </w:r>
    </w:p>
    <w:p w14:paraId="6420914A" w14:textId="5EA170F7" w:rsidR="000A7772" w:rsidRDefault="003011EF" w:rsidP="00160044">
      <w:pPr>
        <w:spacing w:beforeLines="50" w:before="120"/>
      </w:pPr>
      <w:r>
        <w:t>As discussed above, in order t</w:t>
      </w:r>
      <w:r w:rsidR="00342F12">
        <w:t xml:space="preserve">o have a common design for both serving frequency and non-serving frequency, </w:t>
      </w:r>
      <w:r w:rsidR="00A31227">
        <w:t xml:space="preserve">it is required </w:t>
      </w:r>
      <w:r w:rsidR="00342F12">
        <w:t>that the</w:t>
      </w:r>
      <w:r w:rsidR="009E24F7">
        <w:t xml:space="preserve"> UE report the actually affected bandwidth and the central frequency of this bandwidth for each affected frequency.</w:t>
      </w:r>
      <w:r w:rsidR="00FC6B1A">
        <w:t xml:space="preserve"> Of course, the frequency range that </w:t>
      </w:r>
      <w:r w:rsidR="00DF79AA">
        <w:t xml:space="preserve">is </w:t>
      </w:r>
      <w:r w:rsidR="00FC6B1A">
        <w:t>determined by the affected bandwidth and central frequency are within the frequency rang</w:t>
      </w:r>
      <w:r w:rsidR="00DF79AA">
        <w:t>e</w:t>
      </w:r>
      <w:r w:rsidR="00FC6B1A">
        <w:t xml:space="preserve"> configured by the gNB for IDC</w:t>
      </w:r>
      <w:r w:rsidR="00531D15">
        <w:t xml:space="preserve"> as shown in Figure </w:t>
      </w:r>
      <w:r w:rsidR="006D149C">
        <w:t>3</w:t>
      </w:r>
      <w:r w:rsidR="00FC6B1A">
        <w:t xml:space="preserve">. </w:t>
      </w:r>
    </w:p>
    <w:p w14:paraId="55D0F9FE" w14:textId="77777777" w:rsidR="00531D15" w:rsidRDefault="00531D15" w:rsidP="00531D15">
      <w:pPr>
        <w:spacing w:beforeLines="50" w:before="120"/>
      </w:pPr>
      <w:r>
        <w:rPr>
          <w:noProof/>
        </w:rPr>
        <w:drawing>
          <wp:inline distT="0" distB="0" distL="0" distR="0" wp14:anchorId="7A9F33EE" wp14:editId="48982154">
            <wp:extent cx="6610033" cy="1417252"/>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1038" cy="1423900"/>
                    </a:xfrm>
                    <a:prstGeom prst="rect">
                      <a:avLst/>
                    </a:prstGeom>
                    <a:noFill/>
                  </pic:spPr>
                </pic:pic>
              </a:graphicData>
            </a:graphic>
          </wp:inline>
        </w:drawing>
      </w:r>
    </w:p>
    <w:p w14:paraId="0091B31C" w14:textId="3B282ACF" w:rsidR="007637C2" w:rsidRDefault="00531D15" w:rsidP="007637C2">
      <w:pPr>
        <w:spacing w:beforeLines="50" w:before="120"/>
        <w:jc w:val="center"/>
        <w:rPr>
          <w:b/>
        </w:rPr>
      </w:pPr>
      <w:r w:rsidRPr="007637C2">
        <w:rPr>
          <w:rFonts w:eastAsia="SimSun" w:cs="Times New Roman"/>
          <w:b/>
          <w:bCs/>
          <w:kern w:val="0"/>
          <w:sz w:val="20"/>
          <w:szCs w:val="20"/>
        </w:rPr>
        <w:t xml:space="preserve">Figure </w:t>
      </w:r>
      <w:r w:rsidR="006D149C">
        <w:rPr>
          <w:rFonts w:eastAsia="SimSun" w:cs="Times New Roman"/>
          <w:b/>
          <w:bCs/>
          <w:kern w:val="0"/>
          <w:sz w:val="20"/>
          <w:szCs w:val="20"/>
        </w:rPr>
        <w:t>3</w:t>
      </w:r>
      <w:r w:rsidR="006D149C" w:rsidRPr="007637C2">
        <w:rPr>
          <w:rFonts w:eastAsia="SimSun" w:cs="Times New Roman"/>
          <w:b/>
          <w:bCs/>
          <w:kern w:val="0"/>
          <w:sz w:val="20"/>
          <w:szCs w:val="20"/>
        </w:rPr>
        <w:t xml:space="preserve"> </w:t>
      </w:r>
      <w:r w:rsidRPr="007637C2">
        <w:rPr>
          <w:rFonts w:eastAsia="SimSun" w:cs="Times New Roman"/>
          <w:b/>
          <w:bCs/>
          <w:kern w:val="0"/>
          <w:sz w:val="20"/>
          <w:szCs w:val="20"/>
        </w:rPr>
        <w:t>- UE reporting for Option 1 including actual affected bandwidth and the central frequency of this bandwidth of the affected frequency range</w:t>
      </w:r>
    </w:p>
    <w:p w14:paraId="7BF76206" w14:textId="0EFF2457" w:rsidR="00FD27B6" w:rsidRDefault="00FD27B6" w:rsidP="00FD27B6">
      <w:pPr>
        <w:spacing w:beforeLines="50" w:before="120"/>
        <w:rPr>
          <w:b/>
        </w:rPr>
      </w:pPr>
      <w:r w:rsidRPr="00122B1D">
        <w:rPr>
          <w:b/>
        </w:rPr>
        <w:t xml:space="preserve">Proposal </w:t>
      </w:r>
      <w:r w:rsidR="006777FA">
        <w:rPr>
          <w:b/>
        </w:rPr>
        <w:t>4</w:t>
      </w:r>
      <w:r w:rsidRPr="00122B1D">
        <w:rPr>
          <w:b/>
        </w:rPr>
        <w:t>:</w:t>
      </w:r>
      <w:r>
        <w:rPr>
          <w:b/>
        </w:rPr>
        <w:t xml:space="preserve"> </w:t>
      </w:r>
      <w:r w:rsidR="000E080E">
        <w:rPr>
          <w:b/>
        </w:rPr>
        <w:t xml:space="preserve">In order to limit the reporting overhead and to have relevant information for the gNB, it is proposed that </w:t>
      </w:r>
      <w:r w:rsidR="000E080E" w:rsidRPr="000E080E">
        <w:rPr>
          <w:b/>
        </w:rPr>
        <w:t xml:space="preserve">the frequency range </w:t>
      </w:r>
      <w:r w:rsidR="000E080E">
        <w:rPr>
          <w:b/>
        </w:rPr>
        <w:t xml:space="preserve">reported by the UE which is </w:t>
      </w:r>
      <w:r w:rsidR="000E080E" w:rsidRPr="000E080E">
        <w:rPr>
          <w:b/>
        </w:rPr>
        <w:t xml:space="preserve">determined by the affected bandwidth and central frequency are within the frequency range configured by the </w:t>
      </w:r>
      <w:proofErr w:type="spellStart"/>
      <w:r w:rsidR="000E080E" w:rsidRPr="000E080E">
        <w:rPr>
          <w:b/>
        </w:rPr>
        <w:t>gNB</w:t>
      </w:r>
      <w:proofErr w:type="spellEnd"/>
      <w:r w:rsidR="000E080E" w:rsidRPr="000E080E">
        <w:rPr>
          <w:b/>
        </w:rPr>
        <w:t xml:space="preserve"> for IDC</w:t>
      </w:r>
      <w:r w:rsidR="007637C2">
        <w:rPr>
          <w:b/>
        </w:rPr>
        <w:t>.</w:t>
      </w:r>
    </w:p>
    <w:p w14:paraId="7ED4BC5E" w14:textId="375479CB" w:rsidR="00A4233F" w:rsidRDefault="006D149C" w:rsidP="00283073">
      <w:pPr>
        <w:spacing w:beforeLines="50" w:before="120"/>
      </w:pPr>
      <w:r>
        <w:t xml:space="preserve">For a candidate frequency range configured by the </w:t>
      </w:r>
      <w:proofErr w:type="spellStart"/>
      <w:r>
        <w:t>gNB</w:t>
      </w:r>
      <w:proofErr w:type="spellEnd"/>
      <w:r>
        <w:t xml:space="preserve">, the UE may detect both of the interference from NR TX to non-3GPP RX and the interference from non-3GPP TX to NR RX. </w:t>
      </w:r>
      <w:r w:rsidR="00D2545B">
        <w:t xml:space="preserve">In this case </w:t>
      </w:r>
      <w:r w:rsidR="000E080E">
        <w:t xml:space="preserve">the </w:t>
      </w:r>
      <w:r w:rsidR="000E080E" w:rsidRPr="00A4233F">
        <w:t>actual</w:t>
      </w:r>
      <w:r w:rsidR="000E080E">
        <w:t>ly</w:t>
      </w:r>
      <w:r w:rsidR="000E080E" w:rsidRPr="00A4233F">
        <w:t xml:space="preserve"> affected frequency range for the </w:t>
      </w:r>
      <w:r>
        <w:t xml:space="preserve">two </w:t>
      </w:r>
      <w:r w:rsidR="000E080E" w:rsidRPr="00A4233F">
        <w:t xml:space="preserve">interference </w:t>
      </w:r>
      <w:r>
        <w:t xml:space="preserve">direction </w:t>
      </w:r>
      <w:r w:rsidR="00D2545B">
        <w:t xml:space="preserve">may be same or may be different </w:t>
      </w:r>
      <w:r w:rsidR="000E080E" w:rsidRPr="0039285A">
        <w:t xml:space="preserve">as shown in Figure </w:t>
      </w:r>
      <w:r>
        <w:t>4</w:t>
      </w:r>
      <w:r w:rsidR="00E3480D">
        <w:t xml:space="preserve"> </w:t>
      </w:r>
      <w:r w:rsidR="00D2545B">
        <w:t>considering that</w:t>
      </w:r>
      <w:r>
        <w:t xml:space="preserve"> the </w:t>
      </w:r>
      <w:hyperlink r:id="rId13" w:tgtFrame="_blank" w:history="1">
        <w:r w:rsidRPr="006D149C">
          <w:t>isolation</w:t>
        </w:r>
      </w:hyperlink>
      <w:r>
        <w:t xml:space="preserve"> of antenna used by NR and non-3GPP RAT</w:t>
      </w:r>
      <w:r w:rsidR="00D2545B">
        <w:t xml:space="preserve"> may be</w:t>
      </w:r>
      <w:r>
        <w:t xml:space="preserve"> different</w:t>
      </w:r>
      <w:r w:rsidR="000E080E">
        <w:t xml:space="preserve">. </w:t>
      </w:r>
      <w:r w:rsidR="00F81DED">
        <w:t>Then for such candidate frequency range, if the affected frequency range for both of the direction is the same, the UE only needs to report one affected frequency range and set to the interference direct to “both”, while if the affected frequency range for the two directions are different, the UE needs to report two affected frequency ranges</w:t>
      </w:r>
      <w:r w:rsidR="00E3480D">
        <w:t>,</w:t>
      </w:r>
      <w:r w:rsidR="00F81DED">
        <w:t xml:space="preserve"> </w:t>
      </w:r>
      <w:r w:rsidR="00765864">
        <w:t>one</w:t>
      </w:r>
      <w:r w:rsidR="00F81DED">
        <w:t xml:space="preserve"> </w:t>
      </w:r>
      <w:r w:rsidR="00E3480D">
        <w:t xml:space="preserve">with </w:t>
      </w:r>
      <w:r w:rsidR="00F81DED">
        <w:t xml:space="preserve">interference direction set to “NR” </w:t>
      </w:r>
      <w:r w:rsidR="00765864">
        <w:t>and</w:t>
      </w:r>
      <w:r w:rsidR="00F81DED">
        <w:t xml:space="preserve"> </w:t>
      </w:r>
      <w:r w:rsidR="00765864">
        <w:t>one</w:t>
      </w:r>
      <w:r w:rsidR="00E3480D">
        <w:t xml:space="preserve"> with</w:t>
      </w:r>
      <w:r w:rsidR="00765864">
        <w:t xml:space="preserve"> interference direction set to </w:t>
      </w:r>
      <w:r w:rsidR="00F81DED">
        <w:t xml:space="preserve">“other “. </w:t>
      </w:r>
      <w:r w:rsidR="00531D15">
        <w:t xml:space="preserve">This will enable the </w:t>
      </w:r>
      <w:proofErr w:type="spellStart"/>
      <w:r w:rsidR="00531D15">
        <w:t>gNB</w:t>
      </w:r>
      <w:proofErr w:type="spellEnd"/>
      <w:r w:rsidR="00531D15">
        <w:t xml:space="preserve"> to apply different scheduling restrictions in the UL and DL to resolve the IDC issue.</w:t>
      </w:r>
    </w:p>
    <w:p w14:paraId="26BC9317" w14:textId="56D8917D" w:rsidR="006D3F75" w:rsidRDefault="006D3F75" w:rsidP="00283073">
      <w:pPr>
        <w:spacing w:beforeLines="50" w:before="120"/>
      </w:pPr>
    </w:p>
    <w:p w14:paraId="533967E6" w14:textId="5C53BBCB" w:rsidR="0039285A" w:rsidRDefault="0039285A" w:rsidP="00283073">
      <w:pPr>
        <w:spacing w:beforeLines="50" w:before="120"/>
      </w:pPr>
    </w:p>
    <w:p w14:paraId="3BD1BA0D" w14:textId="77777777" w:rsidR="0039285A" w:rsidRDefault="0039285A" w:rsidP="0039285A">
      <w:pPr>
        <w:rPr>
          <w:rFonts w:ascii="Arial" w:hAnsi="Arial" w:cs="Arial"/>
          <w:lang w:eastAsia="ja-JP"/>
        </w:rPr>
      </w:pPr>
      <w:r>
        <w:rPr>
          <w:rFonts w:ascii="Arial" w:hAnsi="Arial" w:cs="Arial"/>
          <w:noProof/>
        </w:rPr>
        <w:lastRenderedPageBreak/>
        <w:drawing>
          <wp:inline distT="0" distB="0" distL="0" distR="0" wp14:anchorId="33970534" wp14:editId="43AF7355">
            <wp:extent cx="6282730" cy="1316018"/>
            <wp:effectExtent l="0" t="0" r="381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3347" cy="1324526"/>
                    </a:xfrm>
                    <a:prstGeom prst="rect">
                      <a:avLst/>
                    </a:prstGeom>
                    <a:noFill/>
                  </pic:spPr>
                </pic:pic>
              </a:graphicData>
            </a:graphic>
          </wp:inline>
        </w:drawing>
      </w:r>
    </w:p>
    <w:p w14:paraId="77DB4FF3" w14:textId="3ED131F8" w:rsidR="0039285A" w:rsidRDefault="0039285A" w:rsidP="0039285A">
      <w:pPr>
        <w:pStyle w:val="Caption"/>
        <w:jc w:val="center"/>
        <w:rPr>
          <w:b w:val="0"/>
        </w:rPr>
      </w:pPr>
      <w:r>
        <w:t xml:space="preserve">Figure </w:t>
      </w:r>
      <w:r w:rsidR="006D149C">
        <w:t xml:space="preserve">4 </w:t>
      </w:r>
      <w:r>
        <w:t xml:space="preserve">– Different </w:t>
      </w:r>
      <w:r w:rsidRPr="0094538F">
        <w:t>affected frequency range for the interference from NR TX to non-3GPP RX and the interference from non-3GPP TX to NR RX</w:t>
      </w:r>
    </w:p>
    <w:p w14:paraId="37316A85" w14:textId="020FEF8B" w:rsidR="00283073" w:rsidRDefault="00A4233F" w:rsidP="00283073">
      <w:pPr>
        <w:spacing w:beforeLines="50" w:before="120"/>
        <w:rPr>
          <w:b/>
        </w:rPr>
      </w:pPr>
      <w:r w:rsidRPr="00A4233F">
        <w:rPr>
          <w:b/>
        </w:rPr>
        <w:t xml:space="preserve">Proposal </w:t>
      </w:r>
      <w:r w:rsidR="006777FA">
        <w:rPr>
          <w:b/>
        </w:rPr>
        <w:t>5</w:t>
      </w:r>
      <w:r w:rsidRPr="00A4233F">
        <w:rPr>
          <w:b/>
        </w:rPr>
        <w:t xml:space="preserve">: </w:t>
      </w:r>
      <w:r w:rsidR="00042F98">
        <w:rPr>
          <w:b/>
        </w:rPr>
        <w:t xml:space="preserve">For </w:t>
      </w:r>
      <w:r w:rsidR="00E3480D">
        <w:rPr>
          <w:b/>
        </w:rPr>
        <w:t xml:space="preserve">a </w:t>
      </w:r>
      <w:r w:rsidR="00AE7EB9">
        <w:rPr>
          <w:b/>
        </w:rPr>
        <w:t xml:space="preserve">candidate </w:t>
      </w:r>
      <w:r w:rsidR="00042F98">
        <w:rPr>
          <w:b/>
        </w:rPr>
        <w:t>frequency</w:t>
      </w:r>
      <w:r w:rsidR="00AE7EB9">
        <w:rPr>
          <w:b/>
        </w:rPr>
        <w:t xml:space="preserve"> </w:t>
      </w:r>
      <w:r w:rsidR="00AE7EB9" w:rsidRPr="00765864">
        <w:rPr>
          <w:b/>
        </w:rPr>
        <w:t xml:space="preserve">range indicated by the </w:t>
      </w:r>
      <w:proofErr w:type="spellStart"/>
      <w:r w:rsidR="00AE7EB9" w:rsidRPr="00765864">
        <w:rPr>
          <w:b/>
        </w:rPr>
        <w:t>gNB</w:t>
      </w:r>
      <w:proofErr w:type="spellEnd"/>
      <w:r w:rsidR="00042F98" w:rsidRPr="00765864">
        <w:rPr>
          <w:b/>
        </w:rPr>
        <w:t>,</w:t>
      </w:r>
      <w:r w:rsidR="0039285A" w:rsidRPr="00E3480D">
        <w:rPr>
          <w:b/>
        </w:rPr>
        <w:t xml:space="preserve"> </w:t>
      </w:r>
      <w:r w:rsidR="00035750" w:rsidRPr="00E3480D">
        <w:rPr>
          <w:b/>
        </w:rPr>
        <w:t xml:space="preserve">if the UE detects </w:t>
      </w:r>
      <w:r w:rsidR="00E3480D">
        <w:rPr>
          <w:b/>
        </w:rPr>
        <w:t xml:space="preserve">interference in </w:t>
      </w:r>
      <w:r w:rsidR="00035750" w:rsidRPr="00E3480D">
        <w:rPr>
          <w:b/>
        </w:rPr>
        <w:t xml:space="preserve">both </w:t>
      </w:r>
      <w:r w:rsidR="00E3480D">
        <w:rPr>
          <w:b/>
        </w:rPr>
        <w:t xml:space="preserve">directions </w:t>
      </w:r>
      <w:r w:rsidR="006777FA">
        <w:rPr>
          <w:b/>
        </w:rPr>
        <w:t>i.e.</w:t>
      </w:r>
      <w:r w:rsidR="00035750" w:rsidRPr="00E3480D">
        <w:rPr>
          <w:b/>
        </w:rPr>
        <w:t xml:space="preserve"> interference from NR TX to non-3GPP RX and the interference from non-3GPP TX to NR RX, the UE report</w:t>
      </w:r>
      <w:r w:rsidR="000165E1">
        <w:rPr>
          <w:b/>
        </w:rPr>
        <w:t>s</w:t>
      </w:r>
      <w:r w:rsidR="00035750" w:rsidRPr="00E3480D">
        <w:rPr>
          <w:b/>
        </w:rPr>
        <w:t xml:space="preserve"> </w:t>
      </w:r>
      <w:r w:rsidR="00AE7EB9" w:rsidRPr="00765864">
        <w:rPr>
          <w:b/>
        </w:rPr>
        <w:t xml:space="preserve">one affected frequency range </w:t>
      </w:r>
      <w:r w:rsidR="00765864" w:rsidRPr="00765864">
        <w:rPr>
          <w:b/>
        </w:rPr>
        <w:t>along w</w:t>
      </w:r>
      <w:r w:rsidR="00765864" w:rsidRPr="00975E2F">
        <w:rPr>
          <w:b/>
        </w:rPr>
        <w:t>ith</w:t>
      </w:r>
      <w:r w:rsidR="00765864" w:rsidRPr="00C83919">
        <w:rPr>
          <w:b/>
        </w:rPr>
        <w:t xml:space="preserve"> interference direction set to “both”</w:t>
      </w:r>
      <w:r w:rsidR="000165E1">
        <w:rPr>
          <w:b/>
        </w:rPr>
        <w:t xml:space="preserve"> if the affected frequency range is the same for the two directions</w:t>
      </w:r>
      <w:r w:rsidR="00765864" w:rsidRPr="00C83919">
        <w:rPr>
          <w:b/>
        </w:rPr>
        <w:t xml:space="preserve">, </w:t>
      </w:r>
      <w:r w:rsidR="000165E1">
        <w:rPr>
          <w:b/>
        </w:rPr>
        <w:t xml:space="preserve">otherwise, the UE reports </w:t>
      </w:r>
      <w:r w:rsidR="00035750" w:rsidRPr="00C83919">
        <w:rPr>
          <w:b/>
        </w:rPr>
        <w:t xml:space="preserve">two affected frequency ranges </w:t>
      </w:r>
      <w:r w:rsidR="00AE7EB9" w:rsidRPr="00765864">
        <w:rPr>
          <w:b/>
        </w:rPr>
        <w:t xml:space="preserve">along with interference direction </w:t>
      </w:r>
      <w:r w:rsidR="00765864" w:rsidRPr="00765864">
        <w:rPr>
          <w:b/>
        </w:rPr>
        <w:t xml:space="preserve">set to “”NR and “other ” </w:t>
      </w:r>
      <w:r w:rsidR="00AE7EB9" w:rsidRPr="00765864">
        <w:rPr>
          <w:b/>
        </w:rPr>
        <w:t>respectively</w:t>
      </w:r>
      <w:r w:rsidR="00AE7EB9">
        <w:t>.</w:t>
      </w:r>
    </w:p>
    <w:p w14:paraId="6E00FC8F" w14:textId="515E6F5D" w:rsidR="003011EF" w:rsidRDefault="003011EF" w:rsidP="003011EF">
      <w:pPr>
        <w:pStyle w:val="Heading2"/>
      </w:pPr>
      <w:r>
        <w:rPr>
          <w:rFonts w:hint="eastAsia"/>
        </w:rPr>
        <w:t>2</w:t>
      </w:r>
      <w:r>
        <w:t xml:space="preserve">.3 </w:t>
      </w:r>
      <w:r w:rsidR="00665DFF">
        <w:t>FDM solution enhancement for</w:t>
      </w:r>
      <w:r w:rsidR="00665DFF" w:rsidRPr="00F124EF">
        <w:t xml:space="preserve"> </w:t>
      </w:r>
      <w:r w:rsidR="006777FA">
        <w:t>M</w:t>
      </w:r>
      <w:r w:rsidR="00665DFF" w:rsidRPr="00F124EF">
        <w:t>R-DC</w:t>
      </w:r>
      <w:r>
        <w:t xml:space="preserve">  </w:t>
      </w:r>
    </w:p>
    <w:p w14:paraId="7453E8B5" w14:textId="204677D4" w:rsidR="006F6908" w:rsidRDefault="006F6908" w:rsidP="006F6908">
      <w:pPr>
        <w:spacing w:beforeLines="50" w:before="120" w:after="240"/>
      </w:pPr>
      <w:r>
        <w:t xml:space="preserve">For the </w:t>
      </w:r>
      <w:r w:rsidR="006777FA">
        <w:t>MR</w:t>
      </w:r>
      <w:r>
        <w:t xml:space="preserve">-DC scenarios we think that there can be two cases that we should consider </w:t>
      </w:r>
    </w:p>
    <w:p w14:paraId="52135B12" w14:textId="77777777" w:rsidR="006F6908" w:rsidRPr="00D63D27" w:rsidRDefault="006F6908" w:rsidP="00D63D27">
      <w:pPr>
        <w:pStyle w:val="ListParagraph"/>
        <w:numPr>
          <w:ilvl w:val="0"/>
          <w:numId w:val="12"/>
        </w:numPr>
        <w:spacing w:after="0" w:afterAutospacing="0" w:line="240" w:lineRule="auto"/>
        <w:ind w:leftChars="0" w:left="1139" w:hanging="357"/>
        <w:rPr>
          <w:sz w:val="21"/>
          <w:szCs w:val="21"/>
        </w:rPr>
      </w:pPr>
      <w:r w:rsidRPr="00D63D27">
        <w:rPr>
          <w:sz w:val="21"/>
          <w:szCs w:val="21"/>
        </w:rPr>
        <w:t>Case 1 – Individual candidate frequencies are affected by the IDC issue</w:t>
      </w:r>
    </w:p>
    <w:p w14:paraId="4B999589" w14:textId="77777777" w:rsidR="006F6908" w:rsidRDefault="006F6908" w:rsidP="00D63D27">
      <w:pPr>
        <w:pStyle w:val="ListParagraph"/>
        <w:numPr>
          <w:ilvl w:val="0"/>
          <w:numId w:val="12"/>
        </w:numPr>
        <w:spacing w:after="0" w:afterAutospacing="0" w:line="240" w:lineRule="auto"/>
        <w:ind w:leftChars="0" w:left="1139" w:hanging="357"/>
      </w:pPr>
      <w:r w:rsidRPr="00D63D27">
        <w:rPr>
          <w:sz w:val="21"/>
          <w:szCs w:val="21"/>
        </w:rPr>
        <w:t>Case 2 – Combination of frequencies are affected by the IDC issue</w:t>
      </w:r>
    </w:p>
    <w:p w14:paraId="5E0A73FF" w14:textId="77777777" w:rsidR="006F6908" w:rsidRDefault="006F6908" w:rsidP="006F6908">
      <w:pPr>
        <w:spacing w:beforeLines="50" w:before="120" w:after="240"/>
      </w:pPr>
      <w:r>
        <w:t xml:space="preserve">For these two cases there can be two options in terms of which node configures the UE with the candidate serving frequency range list. </w:t>
      </w:r>
    </w:p>
    <w:p w14:paraId="5210E590" w14:textId="77777777" w:rsidR="006F6908" w:rsidRPr="00D63D27" w:rsidRDefault="006F6908" w:rsidP="00D63D27">
      <w:pPr>
        <w:pStyle w:val="ListParagraph"/>
        <w:numPr>
          <w:ilvl w:val="0"/>
          <w:numId w:val="13"/>
        </w:numPr>
        <w:spacing w:after="0" w:afterAutospacing="0" w:line="240" w:lineRule="auto"/>
        <w:ind w:leftChars="0" w:left="1139" w:hanging="357"/>
        <w:rPr>
          <w:sz w:val="21"/>
          <w:szCs w:val="21"/>
        </w:rPr>
      </w:pPr>
      <w:r w:rsidRPr="00D63D27">
        <w:rPr>
          <w:sz w:val="21"/>
          <w:szCs w:val="21"/>
        </w:rPr>
        <w:t>Option 1 – Only MN Configures the UE with the candidate serving frequency range list for reporting</w:t>
      </w:r>
    </w:p>
    <w:p w14:paraId="6D439CAD" w14:textId="437F9A6A" w:rsidR="006F6908" w:rsidRDefault="006F6908" w:rsidP="00D63D27">
      <w:pPr>
        <w:pStyle w:val="ListParagraph"/>
        <w:numPr>
          <w:ilvl w:val="0"/>
          <w:numId w:val="13"/>
        </w:numPr>
        <w:spacing w:after="0" w:afterAutospacing="0" w:line="240" w:lineRule="auto"/>
        <w:ind w:leftChars="0" w:left="1139" w:hanging="357"/>
      </w:pPr>
      <w:r w:rsidRPr="00D63D27">
        <w:rPr>
          <w:sz w:val="21"/>
          <w:szCs w:val="21"/>
        </w:rPr>
        <w:t>Option 2 – Both MN and SN can configure the UE with the candidate serving frequency range list for reporting</w:t>
      </w:r>
    </w:p>
    <w:p w14:paraId="567F058A" w14:textId="72E83F22" w:rsidR="00FD26DD" w:rsidRDefault="006F6908" w:rsidP="00D63D27">
      <w:pPr>
        <w:spacing w:after="120"/>
      </w:pPr>
      <w:r>
        <w:t xml:space="preserve">In the following </w:t>
      </w:r>
      <w:r w:rsidR="00391621">
        <w:t>table we</w:t>
      </w:r>
      <w:r>
        <w:t xml:space="preserve"> </w:t>
      </w:r>
      <w:r w:rsidR="00FD26DD">
        <w:t xml:space="preserve">provide our high-level </w:t>
      </w:r>
      <w:r w:rsidR="00BA63BF">
        <w:t>summary</w:t>
      </w:r>
      <w:r w:rsidR="00FD26DD">
        <w:t xml:space="preserve"> </w:t>
      </w:r>
      <w:r>
        <w:t xml:space="preserve">in terms of </w:t>
      </w:r>
      <w:r w:rsidRPr="00851CCB">
        <w:t xml:space="preserve">whether </w:t>
      </w:r>
      <w:r w:rsidR="00BA63BF">
        <w:t xml:space="preserve">it is beneficial for </w:t>
      </w:r>
      <w:r w:rsidRPr="00851CCB">
        <w:t xml:space="preserve">SN </w:t>
      </w:r>
      <w:r>
        <w:t xml:space="preserve">to </w:t>
      </w:r>
      <w:r w:rsidRPr="00851CCB">
        <w:t>configure the IDC reporting for FDM enhancement</w:t>
      </w:r>
      <w:r>
        <w:t xml:space="preserve"> </w:t>
      </w:r>
      <w:r w:rsidRPr="00851CCB">
        <w:t xml:space="preserve">and </w:t>
      </w:r>
      <w:r w:rsidR="000E080E">
        <w:t xml:space="preserve">whether </w:t>
      </w:r>
      <w:r w:rsidRPr="00851CCB">
        <w:t xml:space="preserve">the MN-SN coordination </w:t>
      </w:r>
      <w:r w:rsidR="00BA63BF">
        <w:t>is beneficial</w:t>
      </w:r>
      <w:r w:rsidRPr="00851CCB">
        <w:t xml:space="preserve"> to configure the FDM enhancement</w:t>
      </w:r>
      <w:r>
        <w:t xml:space="preserve"> and to</w:t>
      </w:r>
      <w:r w:rsidRPr="00FD7255">
        <w:t xml:space="preserve"> address the IDC via FDM solution</w:t>
      </w:r>
      <w:r w:rsidR="004E59D7">
        <w:t xml:space="preserve"> for each of these cases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206"/>
        <w:gridCol w:w="1701"/>
        <w:gridCol w:w="4530"/>
      </w:tblGrid>
      <w:tr w:rsidR="00FD26DD" w14:paraId="25DF5100" w14:textId="77777777" w:rsidTr="002104D7">
        <w:tc>
          <w:tcPr>
            <w:tcW w:w="3397" w:type="dxa"/>
            <w:gridSpan w:val="2"/>
            <w:shd w:val="clear" w:color="auto" w:fill="auto"/>
          </w:tcPr>
          <w:p w14:paraId="005D4EF3" w14:textId="6CFC7877" w:rsidR="00FD26DD" w:rsidRDefault="00FD26DD" w:rsidP="007504FA">
            <w:pPr>
              <w:spacing w:line="276" w:lineRule="auto"/>
              <w:jc w:val="center"/>
              <w:rPr>
                <w:rFonts w:eastAsia="MS Mincho"/>
                <w:b/>
                <w:bCs/>
              </w:rPr>
            </w:pPr>
            <w:r>
              <w:rPr>
                <w:rFonts w:eastAsia="MS Mincho"/>
                <w:b/>
                <w:bCs/>
              </w:rPr>
              <w:t>Cases</w:t>
            </w:r>
            <w:r w:rsidR="00084BFA">
              <w:rPr>
                <w:rFonts w:eastAsia="MS Mincho"/>
                <w:b/>
                <w:bCs/>
              </w:rPr>
              <w:t xml:space="preserve"> and </w:t>
            </w:r>
            <w:r w:rsidR="00040E11">
              <w:rPr>
                <w:rFonts w:eastAsia="MS Mincho"/>
                <w:b/>
                <w:bCs/>
              </w:rPr>
              <w:t>Scenarios</w:t>
            </w:r>
          </w:p>
        </w:tc>
        <w:tc>
          <w:tcPr>
            <w:tcW w:w="1701" w:type="dxa"/>
            <w:shd w:val="clear" w:color="auto" w:fill="auto"/>
          </w:tcPr>
          <w:p w14:paraId="691791D2" w14:textId="77777777" w:rsidR="00FD26DD" w:rsidRDefault="00FD26DD" w:rsidP="007504FA">
            <w:pPr>
              <w:spacing w:line="276" w:lineRule="auto"/>
              <w:jc w:val="center"/>
              <w:rPr>
                <w:rFonts w:eastAsia="MS Mincho"/>
                <w:b/>
                <w:bCs/>
              </w:rPr>
            </w:pPr>
            <w:r>
              <w:rPr>
                <w:rFonts w:eastAsia="MS Mincho"/>
                <w:b/>
                <w:bCs/>
              </w:rPr>
              <w:t>Responsible network entity</w:t>
            </w:r>
          </w:p>
        </w:tc>
        <w:tc>
          <w:tcPr>
            <w:tcW w:w="4530" w:type="dxa"/>
            <w:shd w:val="clear" w:color="auto" w:fill="auto"/>
          </w:tcPr>
          <w:p w14:paraId="16AA7F38" w14:textId="75F0F3C2" w:rsidR="00FD26DD" w:rsidRDefault="008217BD" w:rsidP="007504FA">
            <w:pPr>
              <w:spacing w:line="276" w:lineRule="auto"/>
              <w:jc w:val="center"/>
              <w:rPr>
                <w:rFonts w:eastAsia="MS Mincho"/>
                <w:b/>
                <w:bCs/>
              </w:rPr>
            </w:pPr>
            <w:r>
              <w:rPr>
                <w:rFonts w:eastAsia="MS Mincho"/>
                <w:b/>
                <w:bCs/>
              </w:rPr>
              <w:t>Remarks</w:t>
            </w:r>
            <w:r w:rsidR="005203FD">
              <w:rPr>
                <w:rFonts w:eastAsia="MS Mincho"/>
                <w:b/>
                <w:bCs/>
              </w:rPr>
              <w:t xml:space="preserve"> on scenario and interaction</w:t>
            </w:r>
          </w:p>
        </w:tc>
      </w:tr>
      <w:tr w:rsidR="005203FD" w14:paraId="70346435" w14:textId="77777777" w:rsidTr="002104D7">
        <w:trPr>
          <w:trHeight w:val="569"/>
        </w:trPr>
        <w:tc>
          <w:tcPr>
            <w:tcW w:w="2191" w:type="dxa"/>
            <w:vMerge w:val="restart"/>
            <w:shd w:val="clear" w:color="auto" w:fill="auto"/>
            <w:vAlign w:val="center"/>
          </w:tcPr>
          <w:p w14:paraId="60C6649D" w14:textId="15C2BB96" w:rsidR="005203FD" w:rsidRDefault="005203FD" w:rsidP="007504FA">
            <w:pPr>
              <w:spacing w:line="276" w:lineRule="auto"/>
              <w:jc w:val="center"/>
              <w:rPr>
                <w:rFonts w:eastAsia="MS Mincho"/>
              </w:rPr>
            </w:pPr>
            <w:r>
              <w:t>Individual candidate frequencies are affected by the IDC issue</w:t>
            </w:r>
          </w:p>
        </w:tc>
        <w:tc>
          <w:tcPr>
            <w:tcW w:w="1206" w:type="dxa"/>
            <w:vMerge w:val="restart"/>
            <w:shd w:val="clear" w:color="auto" w:fill="auto"/>
          </w:tcPr>
          <w:p w14:paraId="360EB63A" w14:textId="4A15B1A8" w:rsidR="005203FD" w:rsidRDefault="005203FD" w:rsidP="00F510CE">
            <w:pPr>
              <w:spacing w:line="276" w:lineRule="auto"/>
              <w:jc w:val="center"/>
              <w:rPr>
                <w:rFonts w:eastAsia="MS Mincho"/>
              </w:rPr>
            </w:pPr>
            <w:r>
              <w:rPr>
                <w:rFonts w:eastAsia="MS Mincho"/>
              </w:rPr>
              <w:t>EN-DC</w:t>
            </w:r>
          </w:p>
        </w:tc>
        <w:tc>
          <w:tcPr>
            <w:tcW w:w="1701" w:type="dxa"/>
            <w:shd w:val="clear" w:color="auto" w:fill="auto"/>
          </w:tcPr>
          <w:p w14:paraId="6D719BB8" w14:textId="3EF65C11" w:rsidR="005203FD" w:rsidRDefault="005203FD" w:rsidP="007504FA">
            <w:pPr>
              <w:spacing w:line="276" w:lineRule="auto"/>
              <w:rPr>
                <w:rFonts w:eastAsia="MS Mincho"/>
              </w:rPr>
            </w:pPr>
            <w:r>
              <w:rPr>
                <w:rFonts w:eastAsia="MS Mincho"/>
              </w:rPr>
              <w:t>MN</w:t>
            </w:r>
            <w:r w:rsidR="00960EC0">
              <w:rPr>
                <w:rFonts w:eastAsia="MS Mincho"/>
              </w:rPr>
              <w:t xml:space="preserve"> only</w:t>
            </w:r>
          </w:p>
        </w:tc>
        <w:tc>
          <w:tcPr>
            <w:tcW w:w="4530" w:type="dxa"/>
            <w:shd w:val="clear" w:color="auto" w:fill="auto"/>
          </w:tcPr>
          <w:p w14:paraId="21E50126" w14:textId="58D6086C" w:rsidR="005203FD" w:rsidRPr="00984FD4" w:rsidRDefault="005203FD" w:rsidP="00DE0787">
            <w:pPr>
              <w:pStyle w:val="ListParagraph"/>
              <w:numPr>
                <w:ilvl w:val="0"/>
                <w:numId w:val="14"/>
              </w:numPr>
              <w:spacing w:line="276" w:lineRule="auto"/>
              <w:ind w:leftChars="0"/>
            </w:pPr>
            <w:r w:rsidRPr="00984FD4">
              <w:rPr>
                <w:rFonts w:eastAsia="MS Mincho"/>
              </w:rPr>
              <w:t xml:space="preserve">SN provides </w:t>
            </w:r>
            <w:r w:rsidRPr="00984FD4">
              <w:t xml:space="preserve">the candidate serving frequency list to the MN and MN configures </w:t>
            </w:r>
            <w:r w:rsidR="00960EC0" w:rsidRPr="00984FD4">
              <w:t xml:space="preserve">both MN and SN candidate frequencies to the </w:t>
            </w:r>
            <w:r w:rsidRPr="00984FD4">
              <w:t xml:space="preserve">UE using SRB 1. </w:t>
            </w:r>
          </w:p>
          <w:p w14:paraId="3A6FDB14" w14:textId="5E3068F1" w:rsidR="005203FD" w:rsidRPr="00984FD4" w:rsidRDefault="005203FD" w:rsidP="00DE0787">
            <w:pPr>
              <w:pStyle w:val="ListParagraph"/>
              <w:numPr>
                <w:ilvl w:val="0"/>
                <w:numId w:val="14"/>
              </w:numPr>
              <w:spacing w:line="276" w:lineRule="auto"/>
              <w:ind w:leftChars="0"/>
              <w:rPr>
                <w:rFonts w:eastAsia="MS Mincho"/>
              </w:rPr>
            </w:pPr>
            <w:r w:rsidRPr="00984FD4">
              <w:t xml:space="preserve">UE reports are transferred from MN to SN </w:t>
            </w:r>
            <w:r w:rsidR="00960EC0" w:rsidRPr="00984FD4">
              <w:t>for SN to take action</w:t>
            </w:r>
            <w:r w:rsidR="00371892" w:rsidRPr="00984FD4">
              <w:t>. Hence some co-ordination is needed</w:t>
            </w:r>
          </w:p>
        </w:tc>
      </w:tr>
      <w:tr w:rsidR="005203FD" w14:paraId="7D867340" w14:textId="77777777" w:rsidTr="002104D7">
        <w:trPr>
          <w:trHeight w:val="569"/>
        </w:trPr>
        <w:tc>
          <w:tcPr>
            <w:tcW w:w="2191" w:type="dxa"/>
            <w:vMerge/>
            <w:shd w:val="clear" w:color="auto" w:fill="auto"/>
            <w:vAlign w:val="center"/>
          </w:tcPr>
          <w:p w14:paraId="78A78CAD" w14:textId="77777777" w:rsidR="005203FD" w:rsidRDefault="005203FD" w:rsidP="007504FA">
            <w:pPr>
              <w:spacing w:line="276" w:lineRule="auto"/>
              <w:jc w:val="center"/>
            </w:pPr>
          </w:p>
        </w:tc>
        <w:tc>
          <w:tcPr>
            <w:tcW w:w="1206" w:type="dxa"/>
            <w:vMerge/>
            <w:shd w:val="clear" w:color="auto" w:fill="auto"/>
          </w:tcPr>
          <w:p w14:paraId="4ECCD45D" w14:textId="77777777" w:rsidR="005203FD" w:rsidRDefault="005203FD" w:rsidP="007504FA">
            <w:pPr>
              <w:spacing w:line="276" w:lineRule="auto"/>
              <w:rPr>
                <w:rFonts w:eastAsia="MS Mincho"/>
              </w:rPr>
            </w:pPr>
          </w:p>
        </w:tc>
        <w:tc>
          <w:tcPr>
            <w:tcW w:w="1701" w:type="dxa"/>
            <w:shd w:val="clear" w:color="auto" w:fill="auto"/>
          </w:tcPr>
          <w:p w14:paraId="22FBD605" w14:textId="1AB45620" w:rsidR="005203FD" w:rsidRDefault="00F510CE" w:rsidP="007504FA">
            <w:pPr>
              <w:spacing w:line="276" w:lineRule="auto"/>
              <w:rPr>
                <w:rFonts w:eastAsia="MS Mincho"/>
              </w:rPr>
            </w:pPr>
            <w:r>
              <w:rPr>
                <w:rFonts w:eastAsia="MS Mincho"/>
              </w:rPr>
              <w:t>Both MN and SN</w:t>
            </w:r>
          </w:p>
        </w:tc>
        <w:tc>
          <w:tcPr>
            <w:tcW w:w="4530" w:type="dxa"/>
            <w:shd w:val="clear" w:color="auto" w:fill="auto"/>
          </w:tcPr>
          <w:p w14:paraId="12AECDC1" w14:textId="3255BEEE" w:rsidR="00E20207" w:rsidRPr="007B06E0" w:rsidRDefault="00E20207" w:rsidP="00DE0787">
            <w:pPr>
              <w:pStyle w:val="ListParagraph"/>
              <w:numPr>
                <w:ilvl w:val="0"/>
                <w:numId w:val="15"/>
              </w:numPr>
              <w:spacing w:line="276" w:lineRule="auto"/>
              <w:ind w:leftChars="0"/>
            </w:pPr>
            <w:r>
              <w:rPr>
                <w:rFonts w:eastAsia="MS Mincho"/>
              </w:rPr>
              <w:t xml:space="preserve">The independent configuration </w:t>
            </w:r>
            <w:r w:rsidR="007B06E0">
              <w:rPr>
                <w:rFonts w:eastAsia="MS Mincho"/>
              </w:rPr>
              <w:t xml:space="preserve">can be provided by MN and SN </w:t>
            </w:r>
            <w:r>
              <w:rPr>
                <w:rFonts w:eastAsia="MS Mincho"/>
              </w:rPr>
              <w:t xml:space="preserve">and </w:t>
            </w:r>
            <w:r w:rsidR="007B06E0">
              <w:rPr>
                <w:rFonts w:eastAsia="MS Mincho"/>
              </w:rPr>
              <w:t xml:space="preserve">UE can  independently report actual affected frequency range to either MN or SN depending on the node that provided the configuration. </w:t>
            </w:r>
            <w:r>
              <w:t>If MN and SN configures the same candidate frequency to the UE, the UE just needs to report to both the MN and SN</w:t>
            </w:r>
            <w:r w:rsidR="00C83919">
              <w:t>.</w:t>
            </w:r>
            <w:r>
              <w:rPr>
                <w:rFonts w:eastAsia="MS Mincho"/>
              </w:rPr>
              <w:t xml:space="preserve"> </w:t>
            </w:r>
            <w:r w:rsidR="00B37CE2">
              <w:rPr>
                <w:rFonts w:eastAsia="MS Mincho"/>
              </w:rPr>
              <w:t xml:space="preserve">So no coordination between the MN and SN </w:t>
            </w:r>
            <w:r w:rsidR="000667D3">
              <w:rPr>
                <w:rFonts w:eastAsia="MS Mincho"/>
              </w:rPr>
              <w:t xml:space="preserve">for IDC configuration </w:t>
            </w:r>
            <w:r w:rsidR="00B37CE2">
              <w:rPr>
                <w:rFonts w:eastAsia="MS Mincho"/>
              </w:rPr>
              <w:t>is needed.</w:t>
            </w:r>
          </w:p>
          <w:p w14:paraId="6620426D" w14:textId="1E8A6CA1" w:rsidR="005203FD" w:rsidRPr="00984FD4" w:rsidRDefault="005203FD" w:rsidP="00DE0787">
            <w:pPr>
              <w:pStyle w:val="ListParagraph"/>
              <w:numPr>
                <w:ilvl w:val="0"/>
                <w:numId w:val="15"/>
              </w:numPr>
              <w:spacing w:line="276" w:lineRule="auto"/>
              <w:ind w:leftChars="0"/>
            </w:pPr>
            <w:r w:rsidRPr="00984FD4">
              <w:rPr>
                <w:rFonts w:eastAsia="MS Mincho"/>
              </w:rPr>
              <w:lastRenderedPageBreak/>
              <w:t xml:space="preserve">SN </w:t>
            </w:r>
            <w:r w:rsidR="00C83919">
              <w:rPr>
                <w:rFonts w:eastAsia="MS Mincho"/>
              </w:rPr>
              <w:t xml:space="preserve">can </w:t>
            </w:r>
            <w:r w:rsidRPr="00984FD4">
              <w:rPr>
                <w:rFonts w:eastAsia="MS Mincho"/>
              </w:rPr>
              <w:t xml:space="preserve">provide </w:t>
            </w:r>
            <w:r w:rsidRPr="00984FD4">
              <w:t xml:space="preserve">the candidate serving frequency list </w:t>
            </w:r>
            <w:r w:rsidR="00F510CE" w:rsidRPr="00984FD4">
              <w:t xml:space="preserve">directly </w:t>
            </w:r>
            <w:r w:rsidRPr="00984FD4">
              <w:t>to the UE using SRB 3</w:t>
            </w:r>
            <w:r w:rsidR="00C83919">
              <w:t xml:space="preserve"> or using the container in SRB1</w:t>
            </w:r>
            <w:r w:rsidRPr="00984FD4">
              <w:t>.</w:t>
            </w:r>
          </w:p>
          <w:p w14:paraId="324E3650" w14:textId="269075C1" w:rsidR="005203FD" w:rsidRPr="00984FD4" w:rsidRDefault="005203FD" w:rsidP="007B06E0">
            <w:pPr>
              <w:pStyle w:val="ListParagraph"/>
              <w:numPr>
                <w:ilvl w:val="0"/>
                <w:numId w:val="15"/>
              </w:numPr>
              <w:spacing w:line="276" w:lineRule="auto"/>
              <w:ind w:leftChars="0"/>
              <w:rPr>
                <w:rFonts w:eastAsia="MS Mincho"/>
              </w:rPr>
            </w:pPr>
            <w:r w:rsidRPr="00984FD4">
              <w:t xml:space="preserve">UE </w:t>
            </w:r>
            <w:r w:rsidR="00960EC0" w:rsidRPr="00984FD4">
              <w:t xml:space="preserve">can </w:t>
            </w:r>
            <w:r w:rsidRPr="00984FD4">
              <w:t>report</w:t>
            </w:r>
            <w:r w:rsidR="00960EC0" w:rsidRPr="00984FD4">
              <w:t xml:space="preserve"> IDC issues involving SN </w:t>
            </w:r>
            <w:r w:rsidR="00E20207">
              <w:t xml:space="preserve">configured </w:t>
            </w:r>
            <w:r w:rsidR="00960EC0" w:rsidRPr="00984FD4">
              <w:t xml:space="preserve">frequencies </w:t>
            </w:r>
            <w:r w:rsidRPr="00984FD4">
              <w:t>directly to SN</w:t>
            </w:r>
            <w:r w:rsidR="00F510CE" w:rsidRPr="00984FD4">
              <w:t xml:space="preserve"> </w:t>
            </w:r>
            <w:r w:rsidR="00791684" w:rsidRPr="00984FD4">
              <w:t xml:space="preserve">via SRB 3 </w:t>
            </w:r>
            <w:r w:rsidR="00C83919">
              <w:t>or using the container in SRB1</w:t>
            </w:r>
            <w:r w:rsidR="00F510CE" w:rsidRPr="00984FD4">
              <w:t>and SN can take action</w:t>
            </w:r>
            <w:r w:rsidR="00E20207">
              <w:t xml:space="preserve">. </w:t>
            </w:r>
          </w:p>
        </w:tc>
      </w:tr>
      <w:tr w:rsidR="00505EEF" w14:paraId="676203E1" w14:textId="77777777" w:rsidTr="002104D7">
        <w:trPr>
          <w:trHeight w:val="1451"/>
        </w:trPr>
        <w:tc>
          <w:tcPr>
            <w:tcW w:w="2191" w:type="dxa"/>
            <w:vMerge/>
            <w:shd w:val="clear" w:color="auto" w:fill="auto"/>
            <w:vAlign w:val="center"/>
          </w:tcPr>
          <w:p w14:paraId="37D58004" w14:textId="77777777" w:rsidR="00505EEF" w:rsidRDefault="00505EEF" w:rsidP="007504FA">
            <w:pPr>
              <w:spacing w:line="276" w:lineRule="auto"/>
              <w:jc w:val="center"/>
            </w:pPr>
          </w:p>
        </w:tc>
        <w:tc>
          <w:tcPr>
            <w:tcW w:w="1206" w:type="dxa"/>
            <w:vMerge w:val="restart"/>
            <w:shd w:val="clear" w:color="auto" w:fill="auto"/>
          </w:tcPr>
          <w:p w14:paraId="149CF924" w14:textId="75A9C18F" w:rsidR="00505EEF" w:rsidRDefault="00505EEF" w:rsidP="007504FA">
            <w:pPr>
              <w:spacing w:line="276" w:lineRule="auto"/>
              <w:rPr>
                <w:rFonts w:eastAsia="MS Mincho"/>
              </w:rPr>
            </w:pPr>
            <w:r>
              <w:rPr>
                <w:rFonts w:eastAsia="MS Mincho"/>
              </w:rPr>
              <w:t>NR-DC</w:t>
            </w:r>
          </w:p>
        </w:tc>
        <w:tc>
          <w:tcPr>
            <w:tcW w:w="1701" w:type="dxa"/>
            <w:shd w:val="clear" w:color="auto" w:fill="auto"/>
          </w:tcPr>
          <w:p w14:paraId="650E8BD4" w14:textId="31253B01" w:rsidR="00505EEF" w:rsidRDefault="00505EEF" w:rsidP="007504FA">
            <w:pPr>
              <w:spacing w:line="276" w:lineRule="auto"/>
              <w:rPr>
                <w:rFonts w:eastAsia="MS Mincho"/>
              </w:rPr>
            </w:pPr>
            <w:r>
              <w:rPr>
                <w:rFonts w:eastAsia="MS Mincho"/>
              </w:rPr>
              <w:t>MN Only</w:t>
            </w:r>
          </w:p>
        </w:tc>
        <w:tc>
          <w:tcPr>
            <w:tcW w:w="4530" w:type="dxa"/>
            <w:shd w:val="clear" w:color="auto" w:fill="auto"/>
          </w:tcPr>
          <w:p w14:paraId="67CFBA53" w14:textId="23CCD4F1" w:rsidR="00505EEF" w:rsidRPr="00984FD4" w:rsidRDefault="00505EEF" w:rsidP="00DE0787">
            <w:pPr>
              <w:pStyle w:val="ListParagraph"/>
              <w:numPr>
                <w:ilvl w:val="0"/>
                <w:numId w:val="16"/>
              </w:numPr>
              <w:spacing w:line="276" w:lineRule="auto"/>
              <w:ind w:leftChars="0"/>
              <w:rPr>
                <w:rFonts w:eastAsia="MS Mincho"/>
              </w:rPr>
            </w:pPr>
            <w:r w:rsidRPr="00984FD4">
              <w:rPr>
                <w:rFonts w:eastAsia="MS Mincho"/>
              </w:rPr>
              <w:t xml:space="preserve">Similar to EN-DC Scenario for this case. </w:t>
            </w:r>
          </w:p>
          <w:p w14:paraId="7A17353B" w14:textId="0474CD20" w:rsidR="00505EEF" w:rsidRPr="00984FD4" w:rsidRDefault="00922BB6" w:rsidP="00DE0787">
            <w:pPr>
              <w:pStyle w:val="ListParagraph"/>
              <w:numPr>
                <w:ilvl w:val="0"/>
                <w:numId w:val="16"/>
              </w:numPr>
              <w:spacing w:line="276" w:lineRule="auto"/>
              <w:ind w:leftChars="0"/>
              <w:rPr>
                <w:rFonts w:eastAsia="MS Mincho"/>
              </w:rPr>
            </w:pPr>
            <w:r w:rsidRPr="00984FD4">
              <w:rPr>
                <w:rFonts w:eastAsia="MS Mincho"/>
              </w:rPr>
              <w:t xml:space="preserve">However, </w:t>
            </w:r>
            <w:r w:rsidR="00505EEF" w:rsidRPr="00984FD4">
              <w:rPr>
                <w:rFonts w:eastAsia="MS Mincho"/>
              </w:rPr>
              <w:t>Signalling may be unnecessarily restrictive if only the SN frequencies are affected by IDC as it will always have to go via MN</w:t>
            </w:r>
          </w:p>
        </w:tc>
      </w:tr>
      <w:tr w:rsidR="00505EEF" w14:paraId="02E88ABE" w14:textId="77777777" w:rsidTr="002104D7">
        <w:tc>
          <w:tcPr>
            <w:tcW w:w="2191" w:type="dxa"/>
            <w:vMerge/>
            <w:shd w:val="clear" w:color="auto" w:fill="auto"/>
            <w:vAlign w:val="center"/>
          </w:tcPr>
          <w:p w14:paraId="654842A9" w14:textId="77777777" w:rsidR="00505EEF" w:rsidRDefault="00505EEF" w:rsidP="000C760D">
            <w:pPr>
              <w:spacing w:line="276" w:lineRule="auto"/>
              <w:jc w:val="center"/>
            </w:pPr>
          </w:p>
        </w:tc>
        <w:tc>
          <w:tcPr>
            <w:tcW w:w="1206" w:type="dxa"/>
            <w:vMerge/>
            <w:shd w:val="clear" w:color="auto" w:fill="auto"/>
          </w:tcPr>
          <w:p w14:paraId="20323134" w14:textId="77777777" w:rsidR="00505EEF" w:rsidRDefault="00505EEF" w:rsidP="000C760D">
            <w:pPr>
              <w:spacing w:line="276" w:lineRule="auto"/>
              <w:rPr>
                <w:rFonts w:eastAsia="MS Mincho"/>
              </w:rPr>
            </w:pPr>
          </w:p>
        </w:tc>
        <w:tc>
          <w:tcPr>
            <w:tcW w:w="1701" w:type="dxa"/>
            <w:shd w:val="clear" w:color="auto" w:fill="auto"/>
          </w:tcPr>
          <w:p w14:paraId="40964945" w14:textId="2AAB692D" w:rsidR="00505EEF" w:rsidRDefault="00505EEF" w:rsidP="000C760D">
            <w:pPr>
              <w:spacing w:line="276" w:lineRule="auto"/>
              <w:rPr>
                <w:rFonts w:eastAsia="MS Mincho"/>
              </w:rPr>
            </w:pPr>
            <w:r>
              <w:rPr>
                <w:rFonts w:eastAsia="MS Mincho"/>
              </w:rPr>
              <w:t>Both MN and SN</w:t>
            </w:r>
          </w:p>
        </w:tc>
        <w:tc>
          <w:tcPr>
            <w:tcW w:w="4530" w:type="dxa"/>
            <w:shd w:val="clear" w:color="auto" w:fill="auto"/>
          </w:tcPr>
          <w:p w14:paraId="6085AA71" w14:textId="671961FE" w:rsidR="00505EEF" w:rsidRPr="00984FD4" w:rsidRDefault="00E20207" w:rsidP="00B01016">
            <w:pPr>
              <w:pStyle w:val="ListParagraph"/>
              <w:numPr>
                <w:ilvl w:val="0"/>
                <w:numId w:val="17"/>
              </w:numPr>
              <w:spacing w:line="276" w:lineRule="auto"/>
              <w:ind w:leftChars="0"/>
              <w:rPr>
                <w:rFonts w:eastAsia="MS Mincho"/>
              </w:rPr>
            </w:pPr>
            <w:r>
              <w:rPr>
                <w:rFonts w:eastAsia="MS Mincho"/>
              </w:rPr>
              <w:t xml:space="preserve">Same to the EN-DC </w:t>
            </w:r>
            <w:r w:rsidR="00B01016">
              <w:rPr>
                <w:rFonts w:eastAsia="MS Mincho"/>
              </w:rPr>
              <w:t>case</w:t>
            </w:r>
            <w:r>
              <w:rPr>
                <w:rFonts w:eastAsia="MS Mincho"/>
              </w:rPr>
              <w:t xml:space="preserve">. </w:t>
            </w:r>
          </w:p>
        </w:tc>
      </w:tr>
      <w:tr w:rsidR="00505EEF" w14:paraId="39259D85" w14:textId="77777777" w:rsidTr="002104D7">
        <w:tc>
          <w:tcPr>
            <w:tcW w:w="2191" w:type="dxa"/>
            <w:vMerge w:val="restart"/>
            <w:shd w:val="clear" w:color="auto" w:fill="auto"/>
            <w:vAlign w:val="center"/>
          </w:tcPr>
          <w:p w14:paraId="6CADB6E8" w14:textId="2CDA6184" w:rsidR="00505EEF" w:rsidRDefault="00505EEF" w:rsidP="000C760D">
            <w:pPr>
              <w:spacing w:line="276" w:lineRule="auto"/>
              <w:jc w:val="center"/>
              <w:rPr>
                <w:rFonts w:eastAsia="MS Mincho"/>
              </w:rPr>
            </w:pPr>
            <w:r>
              <w:t>Combination of frequencies are affected by the IDC issue</w:t>
            </w:r>
          </w:p>
        </w:tc>
        <w:tc>
          <w:tcPr>
            <w:tcW w:w="1206" w:type="dxa"/>
            <w:vMerge w:val="restart"/>
            <w:shd w:val="clear" w:color="auto" w:fill="auto"/>
          </w:tcPr>
          <w:p w14:paraId="5F4ED153" w14:textId="67770B5F" w:rsidR="00505EEF" w:rsidRDefault="00505EEF" w:rsidP="000C760D">
            <w:pPr>
              <w:spacing w:line="276" w:lineRule="auto"/>
              <w:rPr>
                <w:rFonts w:eastAsia="MS Mincho"/>
              </w:rPr>
            </w:pPr>
            <w:r>
              <w:rPr>
                <w:rFonts w:eastAsia="MS Mincho"/>
              </w:rPr>
              <w:t>EN-DC</w:t>
            </w:r>
          </w:p>
        </w:tc>
        <w:tc>
          <w:tcPr>
            <w:tcW w:w="1701" w:type="dxa"/>
            <w:shd w:val="clear" w:color="auto" w:fill="auto"/>
          </w:tcPr>
          <w:p w14:paraId="6DC13E7B" w14:textId="0D1CDCFE" w:rsidR="00505EEF" w:rsidRDefault="00505EEF" w:rsidP="000C760D">
            <w:pPr>
              <w:spacing w:line="276" w:lineRule="auto"/>
              <w:rPr>
                <w:rFonts w:eastAsia="MS Mincho"/>
              </w:rPr>
            </w:pPr>
            <w:r>
              <w:rPr>
                <w:rFonts w:eastAsia="MS Mincho"/>
              </w:rPr>
              <w:t>MN Only</w:t>
            </w:r>
          </w:p>
        </w:tc>
        <w:tc>
          <w:tcPr>
            <w:tcW w:w="4530" w:type="dxa"/>
            <w:shd w:val="clear" w:color="auto" w:fill="auto"/>
          </w:tcPr>
          <w:p w14:paraId="73232EDC" w14:textId="474DB5DB" w:rsidR="00505EEF" w:rsidRPr="00984FD4" w:rsidRDefault="00505EEF" w:rsidP="00DE0787">
            <w:pPr>
              <w:pStyle w:val="ListParagraph"/>
              <w:numPr>
                <w:ilvl w:val="0"/>
                <w:numId w:val="14"/>
              </w:numPr>
              <w:spacing w:line="276" w:lineRule="auto"/>
              <w:ind w:leftChars="0"/>
            </w:pPr>
            <w:r w:rsidRPr="00984FD4">
              <w:rPr>
                <w:rFonts w:eastAsia="MS Mincho"/>
              </w:rPr>
              <w:t xml:space="preserve">MN receives the report </w:t>
            </w:r>
            <w:r w:rsidR="00323739" w:rsidRPr="00984FD4">
              <w:rPr>
                <w:rFonts w:eastAsia="MS Mincho"/>
              </w:rPr>
              <w:t>through SRB 1</w:t>
            </w:r>
            <w:r w:rsidRPr="00984FD4">
              <w:t xml:space="preserve">. </w:t>
            </w:r>
          </w:p>
          <w:p w14:paraId="56BC0525" w14:textId="10BA3227" w:rsidR="000D2BA1" w:rsidRDefault="00323739" w:rsidP="00DE0787">
            <w:pPr>
              <w:pStyle w:val="ListParagraph"/>
              <w:numPr>
                <w:ilvl w:val="0"/>
                <w:numId w:val="14"/>
              </w:numPr>
              <w:spacing w:line="276" w:lineRule="auto"/>
              <w:ind w:leftChars="0"/>
            </w:pPr>
            <w:r w:rsidRPr="00984FD4">
              <w:t xml:space="preserve">EN-DC procedure </w:t>
            </w:r>
            <w:r w:rsidR="000D2BA1">
              <w:t xml:space="preserve">for legacy IDC FDM solution, i.e. SN provides candidate serving frequency list to MN and MN    transfer the UE IDC assistance information to SN,  </w:t>
            </w:r>
            <w:r w:rsidRPr="00984FD4">
              <w:t xml:space="preserve">could be reused </w:t>
            </w:r>
          </w:p>
          <w:p w14:paraId="2986F304" w14:textId="06A44E57" w:rsidR="00505EEF" w:rsidRPr="00984FD4" w:rsidRDefault="000D2BA1" w:rsidP="000D2BA1">
            <w:pPr>
              <w:pStyle w:val="ListParagraph"/>
              <w:numPr>
                <w:ilvl w:val="0"/>
                <w:numId w:val="14"/>
              </w:numPr>
              <w:spacing w:line="276" w:lineRule="auto"/>
              <w:ind w:leftChars="0"/>
            </w:pPr>
            <w:r>
              <w:t>If MN decide</w:t>
            </w:r>
            <w:r w:rsidR="00661197">
              <w:t>s</w:t>
            </w:r>
            <w:r>
              <w:t xml:space="preserve"> to address the IDC issue caused </w:t>
            </w:r>
            <w:r>
              <w:rPr>
                <w:rFonts w:eastAsiaTheme="minorEastAsia" w:hint="eastAsia"/>
              </w:rPr>
              <w:t>b</w:t>
            </w:r>
            <w:r>
              <w:rPr>
                <w:rFonts w:eastAsiaTheme="minorEastAsia"/>
              </w:rPr>
              <w:t xml:space="preserve">y frequency combination, it does not transfer the </w:t>
            </w:r>
            <w:r w:rsidRPr="00984FD4">
              <w:t xml:space="preserve">UE reported </w:t>
            </w:r>
            <w:r>
              <w:t xml:space="preserve">IDC </w:t>
            </w:r>
            <w:r w:rsidRPr="00984FD4">
              <w:t>information to SN</w:t>
            </w:r>
            <w:r>
              <w:t xml:space="preserve">, otherwise, it </w:t>
            </w:r>
            <w:r w:rsidRPr="00984FD4">
              <w:t>transfer</w:t>
            </w:r>
            <w:r>
              <w:t>s</w:t>
            </w:r>
            <w:r w:rsidRPr="00984FD4">
              <w:t xml:space="preserve"> the UE reported </w:t>
            </w:r>
            <w:r>
              <w:t xml:space="preserve">IDC </w:t>
            </w:r>
            <w:r w:rsidRPr="00984FD4">
              <w:t>information to SN for SN to take action in case the SN frequency is involved</w:t>
            </w:r>
            <w:r>
              <w:t xml:space="preserve"> in the combination. So no coordination is needed for solution between MN and SN.</w:t>
            </w:r>
            <w:r w:rsidR="00323739" w:rsidRPr="00984FD4">
              <w:t xml:space="preserve"> </w:t>
            </w:r>
          </w:p>
        </w:tc>
      </w:tr>
      <w:tr w:rsidR="00505EEF" w14:paraId="78F48E41" w14:textId="77777777" w:rsidTr="002104D7">
        <w:tc>
          <w:tcPr>
            <w:tcW w:w="2191" w:type="dxa"/>
            <w:vMerge/>
            <w:shd w:val="clear" w:color="auto" w:fill="auto"/>
          </w:tcPr>
          <w:p w14:paraId="7318D294" w14:textId="77777777" w:rsidR="00505EEF" w:rsidRDefault="00505EEF" w:rsidP="000C760D">
            <w:pPr>
              <w:spacing w:line="276" w:lineRule="auto"/>
              <w:rPr>
                <w:rFonts w:eastAsia="MS Mincho"/>
              </w:rPr>
            </w:pPr>
          </w:p>
        </w:tc>
        <w:tc>
          <w:tcPr>
            <w:tcW w:w="1206" w:type="dxa"/>
            <w:vMerge/>
            <w:shd w:val="clear" w:color="auto" w:fill="auto"/>
          </w:tcPr>
          <w:p w14:paraId="1A535AC0" w14:textId="15A4C431" w:rsidR="00505EEF" w:rsidRDefault="00505EEF" w:rsidP="000C760D">
            <w:pPr>
              <w:spacing w:line="276" w:lineRule="auto"/>
              <w:rPr>
                <w:rFonts w:eastAsia="MS Mincho"/>
              </w:rPr>
            </w:pPr>
          </w:p>
        </w:tc>
        <w:tc>
          <w:tcPr>
            <w:tcW w:w="1701" w:type="dxa"/>
            <w:shd w:val="clear" w:color="auto" w:fill="auto"/>
          </w:tcPr>
          <w:p w14:paraId="0ACD2948" w14:textId="77D05625" w:rsidR="00505EEF" w:rsidRDefault="00505EEF" w:rsidP="000C760D">
            <w:pPr>
              <w:spacing w:line="276" w:lineRule="auto"/>
              <w:rPr>
                <w:rFonts w:eastAsia="MS Mincho"/>
              </w:rPr>
            </w:pPr>
            <w:r>
              <w:rPr>
                <w:rFonts w:eastAsia="MS Mincho"/>
              </w:rPr>
              <w:t>Both MN and SN</w:t>
            </w:r>
          </w:p>
        </w:tc>
        <w:tc>
          <w:tcPr>
            <w:tcW w:w="4530" w:type="dxa"/>
            <w:shd w:val="clear" w:color="auto" w:fill="auto"/>
          </w:tcPr>
          <w:p w14:paraId="7BB5651A" w14:textId="748E0AED" w:rsidR="00505EEF" w:rsidRPr="00984FD4" w:rsidRDefault="00C171E6" w:rsidP="00C171E6">
            <w:pPr>
              <w:pStyle w:val="ListParagraph"/>
              <w:numPr>
                <w:ilvl w:val="0"/>
                <w:numId w:val="18"/>
              </w:numPr>
              <w:spacing w:line="276" w:lineRule="auto"/>
              <w:ind w:leftChars="0"/>
              <w:rPr>
                <w:rFonts w:eastAsia="MS Mincho"/>
              </w:rPr>
            </w:pPr>
            <w:r>
              <w:rPr>
                <w:rFonts w:eastAsia="MS Mincho"/>
              </w:rPr>
              <w:t>If UE reports IDC assistance information to b</w:t>
            </w:r>
            <w:r w:rsidRPr="00984FD4">
              <w:rPr>
                <w:rFonts w:eastAsia="MS Mincho"/>
              </w:rPr>
              <w:t xml:space="preserve">oth </w:t>
            </w:r>
            <w:r w:rsidR="0058254F" w:rsidRPr="00984FD4">
              <w:rPr>
                <w:rFonts w:eastAsia="MS Mincho"/>
              </w:rPr>
              <w:t>MN and SN</w:t>
            </w:r>
            <w:r>
              <w:rPr>
                <w:rFonts w:eastAsia="MS Mincho"/>
              </w:rPr>
              <w:t>,</w:t>
            </w:r>
            <w:r w:rsidR="001C6F1F">
              <w:rPr>
                <w:rFonts w:eastAsia="MS Mincho"/>
              </w:rPr>
              <w:t xml:space="preserve"> </w:t>
            </w:r>
            <w:r w:rsidR="0058254F" w:rsidRPr="00984FD4">
              <w:rPr>
                <w:rFonts w:eastAsia="MS Mincho"/>
              </w:rPr>
              <w:t xml:space="preserve">coordination </w:t>
            </w:r>
            <w:r w:rsidR="00984FD4">
              <w:rPr>
                <w:rFonts w:eastAsia="MS Mincho"/>
              </w:rPr>
              <w:t xml:space="preserve">will </w:t>
            </w:r>
            <w:r w:rsidR="0058254F" w:rsidRPr="00984FD4">
              <w:rPr>
                <w:rFonts w:eastAsia="MS Mincho"/>
              </w:rPr>
              <w:t xml:space="preserve">be </w:t>
            </w:r>
            <w:r w:rsidR="00323739" w:rsidRPr="00984FD4">
              <w:rPr>
                <w:rFonts w:eastAsia="MS Mincho"/>
              </w:rPr>
              <w:t>needed</w:t>
            </w:r>
            <w:r w:rsidR="0058254F" w:rsidRPr="00984FD4">
              <w:rPr>
                <w:rFonts w:eastAsia="MS Mincho"/>
              </w:rPr>
              <w:t xml:space="preserve"> to address the IDC issue</w:t>
            </w:r>
          </w:p>
        </w:tc>
      </w:tr>
      <w:tr w:rsidR="00505EEF" w14:paraId="6ECF35EF" w14:textId="77777777" w:rsidTr="002104D7">
        <w:tc>
          <w:tcPr>
            <w:tcW w:w="2191" w:type="dxa"/>
            <w:vMerge/>
            <w:shd w:val="clear" w:color="auto" w:fill="auto"/>
          </w:tcPr>
          <w:p w14:paraId="74A96749" w14:textId="77777777" w:rsidR="00505EEF" w:rsidRDefault="00505EEF" w:rsidP="00A17EF3">
            <w:pPr>
              <w:spacing w:line="276" w:lineRule="auto"/>
              <w:rPr>
                <w:rFonts w:eastAsia="MS Mincho"/>
              </w:rPr>
            </w:pPr>
          </w:p>
        </w:tc>
        <w:tc>
          <w:tcPr>
            <w:tcW w:w="1206" w:type="dxa"/>
            <w:vMerge w:val="restart"/>
            <w:shd w:val="clear" w:color="auto" w:fill="auto"/>
          </w:tcPr>
          <w:p w14:paraId="21EC647E" w14:textId="7D8E7CA0" w:rsidR="00505EEF" w:rsidRDefault="00505EEF" w:rsidP="00A17EF3">
            <w:pPr>
              <w:spacing w:line="276" w:lineRule="auto"/>
              <w:rPr>
                <w:rFonts w:eastAsia="MS Mincho"/>
              </w:rPr>
            </w:pPr>
            <w:r>
              <w:rPr>
                <w:rFonts w:eastAsia="MS Mincho"/>
              </w:rPr>
              <w:t>NR-DC</w:t>
            </w:r>
          </w:p>
        </w:tc>
        <w:tc>
          <w:tcPr>
            <w:tcW w:w="1701" w:type="dxa"/>
            <w:shd w:val="clear" w:color="auto" w:fill="auto"/>
          </w:tcPr>
          <w:p w14:paraId="04D7EAC0" w14:textId="21CF67D0" w:rsidR="00505EEF" w:rsidRDefault="00505EEF" w:rsidP="00A17EF3">
            <w:pPr>
              <w:spacing w:line="276" w:lineRule="auto"/>
              <w:rPr>
                <w:rFonts w:eastAsia="MS Mincho"/>
              </w:rPr>
            </w:pPr>
            <w:r>
              <w:rPr>
                <w:rFonts w:eastAsia="MS Mincho"/>
              </w:rPr>
              <w:t>MN Only</w:t>
            </w:r>
          </w:p>
        </w:tc>
        <w:tc>
          <w:tcPr>
            <w:tcW w:w="4530" w:type="dxa"/>
            <w:shd w:val="clear" w:color="auto" w:fill="auto"/>
          </w:tcPr>
          <w:p w14:paraId="0429B41E" w14:textId="77777777" w:rsidR="00505EEF" w:rsidRPr="00984FD4" w:rsidRDefault="00BA63BF" w:rsidP="00DE0787">
            <w:pPr>
              <w:pStyle w:val="ListParagraph"/>
              <w:numPr>
                <w:ilvl w:val="0"/>
                <w:numId w:val="16"/>
              </w:numPr>
              <w:spacing w:line="276" w:lineRule="auto"/>
              <w:ind w:leftChars="0"/>
              <w:rPr>
                <w:rFonts w:eastAsia="MS Mincho"/>
              </w:rPr>
            </w:pPr>
            <w:r w:rsidRPr="00984FD4">
              <w:rPr>
                <w:rFonts w:eastAsia="MS Mincho"/>
              </w:rPr>
              <w:t>MN receives the report through SRB 1</w:t>
            </w:r>
            <w:r w:rsidR="00505EEF" w:rsidRPr="00984FD4">
              <w:rPr>
                <w:rFonts w:eastAsia="MS Mincho"/>
              </w:rPr>
              <w:t xml:space="preserve">. </w:t>
            </w:r>
          </w:p>
          <w:p w14:paraId="5B3DF68D" w14:textId="77777777" w:rsidR="001C6F1F" w:rsidRPr="001C6F1F" w:rsidRDefault="000D2BA1" w:rsidP="001C6F1F">
            <w:pPr>
              <w:pStyle w:val="ListParagraph"/>
              <w:numPr>
                <w:ilvl w:val="0"/>
                <w:numId w:val="16"/>
              </w:numPr>
              <w:spacing w:line="276" w:lineRule="auto"/>
              <w:ind w:leftChars="0"/>
              <w:rPr>
                <w:rFonts w:eastAsia="MS Mincho"/>
              </w:rPr>
            </w:pPr>
            <w:r>
              <w:t xml:space="preserve">The same procedure as the </w:t>
            </w:r>
            <w:r w:rsidRPr="00984FD4">
              <w:t xml:space="preserve">EN-DC procedure </w:t>
            </w:r>
            <w:r>
              <w:t xml:space="preserve">for legacy IDC FDM solution </w:t>
            </w:r>
            <w:r w:rsidRPr="00984FD4">
              <w:t>could be reused</w:t>
            </w:r>
            <w:r w:rsidR="00661197">
              <w:t>.</w:t>
            </w:r>
          </w:p>
          <w:p w14:paraId="6A558B55" w14:textId="4EC44954" w:rsidR="00BA63BF" w:rsidRPr="001C6F1F" w:rsidRDefault="00661197" w:rsidP="001C6F1F">
            <w:pPr>
              <w:pStyle w:val="ListParagraph"/>
              <w:numPr>
                <w:ilvl w:val="0"/>
                <w:numId w:val="16"/>
              </w:numPr>
              <w:spacing w:line="276" w:lineRule="auto"/>
              <w:ind w:leftChars="0"/>
              <w:rPr>
                <w:rFonts w:eastAsia="MS Mincho"/>
              </w:rPr>
            </w:pPr>
            <w:r>
              <w:t xml:space="preserve">If MN decides to address the IDC issue caused </w:t>
            </w:r>
            <w:r w:rsidRPr="001C6F1F">
              <w:rPr>
                <w:rFonts w:eastAsiaTheme="minorEastAsia" w:hint="eastAsia"/>
              </w:rPr>
              <w:t>b</w:t>
            </w:r>
            <w:r w:rsidRPr="001C6F1F">
              <w:rPr>
                <w:rFonts w:eastAsiaTheme="minorEastAsia"/>
              </w:rPr>
              <w:t xml:space="preserve">y frequency combination, it does not transfer the </w:t>
            </w:r>
            <w:r w:rsidRPr="00984FD4">
              <w:t xml:space="preserve">UE reported </w:t>
            </w:r>
            <w:r>
              <w:t xml:space="preserve">IDC </w:t>
            </w:r>
            <w:r w:rsidRPr="00984FD4">
              <w:t>information to SN</w:t>
            </w:r>
            <w:r>
              <w:t xml:space="preserve">, otherwise, it </w:t>
            </w:r>
            <w:r w:rsidRPr="00984FD4">
              <w:t>transfer</w:t>
            </w:r>
            <w:r>
              <w:t>s</w:t>
            </w:r>
            <w:r w:rsidRPr="00984FD4">
              <w:t xml:space="preserve"> the UE reported </w:t>
            </w:r>
            <w:r>
              <w:t xml:space="preserve">IDC </w:t>
            </w:r>
            <w:r w:rsidRPr="00984FD4">
              <w:t>information to SN for SN to take action in case the SN frequency is involved</w:t>
            </w:r>
            <w:r>
              <w:t xml:space="preserve"> in the combination. So no coordination is needed for solution between MN and SN.</w:t>
            </w:r>
            <w:r w:rsidR="00BA63BF" w:rsidRPr="001C6F1F">
              <w:rPr>
                <w:rFonts w:eastAsia="MS Mincho"/>
              </w:rPr>
              <w:t xml:space="preserve"> </w:t>
            </w:r>
          </w:p>
        </w:tc>
      </w:tr>
      <w:tr w:rsidR="00505EEF" w14:paraId="384DA76F" w14:textId="77777777" w:rsidTr="002104D7">
        <w:tc>
          <w:tcPr>
            <w:tcW w:w="2191" w:type="dxa"/>
            <w:vMerge/>
            <w:shd w:val="clear" w:color="auto" w:fill="auto"/>
          </w:tcPr>
          <w:p w14:paraId="59023E89" w14:textId="77777777" w:rsidR="00505EEF" w:rsidRDefault="00505EEF" w:rsidP="00A17EF3">
            <w:pPr>
              <w:spacing w:line="276" w:lineRule="auto"/>
              <w:rPr>
                <w:rFonts w:eastAsia="MS Mincho"/>
              </w:rPr>
            </w:pPr>
          </w:p>
        </w:tc>
        <w:tc>
          <w:tcPr>
            <w:tcW w:w="1206" w:type="dxa"/>
            <w:vMerge/>
            <w:shd w:val="clear" w:color="auto" w:fill="auto"/>
          </w:tcPr>
          <w:p w14:paraId="4625EF67" w14:textId="50AFA65F" w:rsidR="00505EEF" w:rsidRDefault="00505EEF" w:rsidP="00A17EF3">
            <w:pPr>
              <w:spacing w:line="276" w:lineRule="auto"/>
              <w:rPr>
                <w:rFonts w:eastAsia="MS Mincho"/>
              </w:rPr>
            </w:pPr>
          </w:p>
        </w:tc>
        <w:tc>
          <w:tcPr>
            <w:tcW w:w="1701" w:type="dxa"/>
            <w:shd w:val="clear" w:color="auto" w:fill="auto"/>
          </w:tcPr>
          <w:p w14:paraId="385E0FE5" w14:textId="2CCE4D69" w:rsidR="00505EEF" w:rsidRDefault="00505EEF" w:rsidP="00A17EF3">
            <w:pPr>
              <w:spacing w:line="276" w:lineRule="auto"/>
              <w:rPr>
                <w:rFonts w:eastAsia="MS Mincho"/>
              </w:rPr>
            </w:pPr>
            <w:r>
              <w:rPr>
                <w:rFonts w:eastAsia="MS Mincho"/>
              </w:rPr>
              <w:t>Both MN and SN</w:t>
            </w:r>
          </w:p>
        </w:tc>
        <w:tc>
          <w:tcPr>
            <w:tcW w:w="4530" w:type="dxa"/>
            <w:shd w:val="clear" w:color="auto" w:fill="auto"/>
          </w:tcPr>
          <w:p w14:paraId="5E7136BC" w14:textId="3D7F51B2" w:rsidR="00505EEF" w:rsidRPr="00984FD4" w:rsidRDefault="008556C3" w:rsidP="008556C3">
            <w:pPr>
              <w:pStyle w:val="ListParagraph"/>
              <w:numPr>
                <w:ilvl w:val="0"/>
                <w:numId w:val="16"/>
              </w:numPr>
              <w:spacing w:line="276" w:lineRule="auto"/>
              <w:ind w:leftChars="0"/>
              <w:rPr>
                <w:rFonts w:eastAsia="MS Mincho"/>
              </w:rPr>
            </w:pPr>
            <w:r>
              <w:rPr>
                <w:rFonts w:eastAsia="MS Mincho"/>
              </w:rPr>
              <w:t>If UE reports IDC assistance information to b</w:t>
            </w:r>
            <w:r w:rsidRPr="00984FD4">
              <w:rPr>
                <w:rFonts w:eastAsia="MS Mincho"/>
              </w:rPr>
              <w:t xml:space="preserve">oth </w:t>
            </w:r>
            <w:r w:rsidR="00505EEF" w:rsidRPr="00984FD4">
              <w:rPr>
                <w:rFonts w:eastAsia="MS Mincho"/>
              </w:rPr>
              <w:t>MN and SN</w:t>
            </w:r>
            <w:r>
              <w:rPr>
                <w:rFonts w:eastAsia="MS Mincho"/>
              </w:rPr>
              <w:t>,</w:t>
            </w:r>
            <w:r w:rsidR="00505EEF" w:rsidRPr="00984FD4">
              <w:rPr>
                <w:rFonts w:eastAsia="MS Mincho"/>
              </w:rPr>
              <w:t xml:space="preserve"> co</w:t>
            </w:r>
            <w:r w:rsidR="00BA63BF" w:rsidRPr="00984FD4">
              <w:rPr>
                <w:rFonts w:eastAsia="MS Mincho"/>
              </w:rPr>
              <w:t>-</w:t>
            </w:r>
            <w:r w:rsidR="00505EEF" w:rsidRPr="00984FD4">
              <w:rPr>
                <w:rFonts w:eastAsia="MS Mincho"/>
              </w:rPr>
              <w:t xml:space="preserve">ordination </w:t>
            </w:r>
            <w:r w:rsidR="00661197">
              <w:rPr>
                <w:rFonts w:eastAsia="MS Mincho"/>
              </w:rPr>
              <w:t>will</w:t>
            </w:r>
            <w:r w:rsidR="00661197" w:rsidRPr="00984FD4">
              <w:rPr>
                <w:rFonts w:eastAsia="MS Mincho"/>
              </w:rPr>
              <w:t xml:space="preserve"> </w:t>
            </w:r>
            <w:r w:rsidR="00922BB6" w:rsidRPr="00984FD4">
              <w:rPr>
                <w:rFonts w:eastAsia="MS Mincho"/>
              </w:rPr>
              <w:t xml:space="preserve">be </w:t>
            </w:r>
            <w:r w:rsidR="000D2BA1">
              <w:rPr>
                <w:rFonts w:eastAsia="MS Mincho"/>
              </w:rPr>
              <w:t>needed</w:t>
            </w:r>
            <w:r w:rsidR="000D2BA1" w:rsidRPr="00984FD4">
              <w:rPr>
                <w:rFonts w:eastAsia="MS Mincho"/>
              </w:rPr>
              <w:t xml:space="preserve"> </w:t>
            </w:r>
            <w:r w:rsidR="00922BB6" w:rsidRPr="00984FD4">
              <w:rPr>
                <w:rFonts w:eastAsia="MS Mincho"/>
              </w:rPr>
              <w:t>to</w:t>
            </w:r>
            <w:r w:rsidR="001C7A86" w:rsidRPr="00984FD4">
              <w:rPr>
                <w:rFonts w:eastAsia="MS Mincho"/>
              </w:rPr>
              <w:t xml:space="preserve"> address the IDC issue</w:t>
            </w:r>
          </w:p>
        </w:tc>
      </w:tr>
    </w:tbl>
    <w:p w14:paraId="498672B1" w14:textId="3F7630DC" w:rsidR="00975E2F" w:rsidRPr="00D63D27" w:rsidRDefault="008D3990" w:rsidP="00D63D27">
      <w:pPr>
        <w:spacing w:beforeLines="50" w:before="120"/>
        <w:rPr>
          <w:rFonts w:cs="Times New Roman"/>
          <w:szCs w:val="21"/>
        </w:rPr>
      </w:pPr>
      <w:r w:rsidRPr="00D63D27">
        <w:rPr>
          <w:rFonts w:cs="Times New Roman"/>
          <w:szCs w:val="21"/>
        </w:rPr>
        <w:t xml:space="preserve">Considering the above </w:t>
      </w:r>
      <w:proofErr w:type="gramStart"/>
      <w:r w:rsidRPr="00D63D27">
        <w:rPr>
          <w:rFonts w:cs="Times New Roman"/>
          <w:szCs w:val="21"/>
        </w:rPr>
        <w:t>analysis</w:t>
      </w:r>
      <w:proofErr w:type="gramEnd"/>
      <w:r w:rsidRPr="00D63D27">
        <w:rPr>
          <w:rFonts w:cs="Times New Roman"/>
          <w:szCs w:val="21"/>
        </w:rPr>
        <w:t xml:space="preserve"> we think that </w:t>
      </w:r>
    </w:p>
    <w:p w14:paraId="277DDDC8" w14:textId="792015D2" w:rsidR="008D3990" w:rsidRPr="00D63D27" w:rsidRDefault="008D3990" w:rsidP="00D63D27">
      <w:pPr>
        <w:pStyle w:val="ListParagraph"/>
        <w:numPr>
          <w:ilvl w:val="0"/>
          <w:numId w:val="21"/>
        </w:numPr>
        <w:spacing w:beforeLines="50" w:before="120" w:after="0" w:afterAutospacing="0"/>
        <w:ind w:leftChars="0"/>
        <w:rPr>
          <w:rFonts w:ascii="Times New Roman" w:hAnsi="Times New Roman"/>
          <w:sz w:val="21"/>
          <w:szCs w:val="21"/>
        </w:rPr>
      </w:pPr>
      <w:r w:rsidRPr="00D63D27">
        <w:rPr>
          <w:rFonts w:ascii="Times New Roman" w:hAnsi="Times New Roman"/>
          <w:sz w:val="21"/>
          <w:szCs w:val="21"/>
        </w:rPr>
        <w:t>it is beneficial that SN is able to configure and address the IDC problems independently for the following cases</w:t>
      </w:r>
    </w:p>
    <w:p w14:paraId="65E21B95" w14:textId="30D45234" w:rsidR="00FD26DD" w:rsidRPr="00D63D27" w:rsidRDefault="008D3990" w:rsidP="00D63D27">
      <w:pPr>
        <w:pStyle w:val="ListParagraph"/>
        <w:numPr>
          <w:ilvl w:val="0"/>
          <w:numId w:val="16"/>
        </w:numPr>
        <w:spacing w:after="0" w:afterAutospacing="0"/>
        <w:ind w:leftChars="0" w:left="714" w:hanging="357"/>
        <w:rPr>
          <w:rFonts w:ascii="Times New Roman" w:hAnsi="Times New Roman"/>
          <w:sz w:val="21"/>
          <w:szCs w:val="21"/>
        </w:rPr>
      </w:pPr>
      <w:r w:rsidRPr="00D63D27">
        <w:rPr>
          <w:rFonts w:ascii="Times New Roman" w:hAnsi="Times New Roman"/>
          <w:sz w:val="21"/>
          <w:szCs w:val="21"/>
        </w:rPr>
        <w:t>EN-DC case where the impacts to LTE MN can be minimized.</w:t>
      </w:r>
    </w:p>
    <w:p w14:paraId="16326905" w14:textId="7B8A06AB" w:rsidR="0058254F" w:rsidRPr="00D63D27" w:rsidRDefault="008D3990" w:rsidP="00D63D27">
      <w:pPr>
        <w:pStyle w:val="ListParagraph"/>
        <w:numPr>
          <w:ilvl w:val="0"/>
          <w:numId w:val="16"/>
        </w:numPr>
        <w:spacing w:after="0" w:afterAutospacing="0"/>
        <w:ind w:leftChars="0" w:left="714" w:hanging="357"/>
        <w:rPr>
          <w:rFonts w:ascii="Times New Roman" w:hAnsi="Times New Roman"/>
          <w:sz w:val="21"/>
          <w:szCs w:val="21"/>
        </w:rPr>
      </w:pPr>
      <w:r w:rsidRPr="00D63D27">
        <w:rPr>
          <w:rFonts w:ascii="Times New Roman" w:hAnsi="Times New Roman"/>
          <w:sz w:val="21"/>
          <w:szCs w:val="21"/>
        </w:rPr>
        <w:t>NR-DC case where the IDC issues can be resolved in the SN independently</w:t>
      </w:r>
    </w:p>
    <w:p w14:paraId="33A86991" w14:textId="4F0026A8" w:rsidR="0058254F" w:rsidRPr="00D63D27" w:rsidRDefault="008556C3" w:rsidP="00D63D27">
      <w:pPr>
        <w:pStyle w:val="ListParagraph"/>
        <w:numPr>
          <w:ilvl w:val="0"/>
          <w:numId w:val="21"/>
        </w:numPr>
        <w:spacing w:beforeLines="50" w:before="120" w:after="0" w:afterAutospacing="0"/>
        <w:ind w:leftChars="0"/>
        <w:rPr>
          <w:rFonts w:ascii="Times New Roman" w:hAnsi="Times New Roman"/>
          <w:sz w:val="21"/>
          <w:szCs w:val="21"/>
        </w:rPr>
      </w:pPr>
      <w:r w:rsidRPr="00D63D27">
        <w:rPr>
          <w:rFonts w:ascii="Times New Roman" w:hAnsi="Times New Roman"/>
          <w:sz w:val="21"/>
          <w:szCs w:val="21"/>
        </w:rPr>
        <w:t xml:space="preserve"> </w:t>
      </w:r>
      <w:r w:rsidR="00E20207" w:rsidRPr="00D63D27">
        <w:rPr>
          <w:rFonts w:ascii="Times New Roman" w:hAnsi="Times New Roman"/>
          <w:sz w:val="21"/>
          <w:szCs w:val="21"/>
        </w:rPr>
        <w:t>Neither the coordination for IDC configuration to avoid the overlap of candidate frequency list nor the coordination for IDC solution between the MN and SN is needed</w:t>
      </w:r>
      <w:r w:rsidR="0058254F" w:rsidRPr="00D63D27">
        <w:rPr>
          <w:rFonts w:ascii="Times New Roman" w:hAnsi="Times New Roman"/>
          <w:sz w:val="21"/>
          <w:szCs w:val="21"/>
        </w:rPr>
        <w:t xml:space="preserve">. </w:t>
      </w:r>
    </w:p>
    <w:p w14:paraId="6F02FD34" w14:textId="343D2FA1" w:rsidR="008D3990" w:rsidRPr="000165E1" w:rsidRDefault="00922BB6" w:rsidP="00D63D27">
      <w:pPr>
        <w:spacing w:beforeLines="50" w:before="120"/>
        <w:rPr>
          <w:rFonts w:cs="Times New Roman"/>
          <w:szCs w:val="21"/>
        </w:rPr>
      </w:pPr>
      <w:r w:rsidRPr="00D63D27">
        <w:rPr>
          <w:rFonts w:cs="Times New Roman"/>
          <w:szCs w:val="21"/>
        </w:rPr>
        <w:t>Hence,</w:t>
      </w:r>
      <w:r w:rsidR="008D3990" w:rsidRPr="00D63D27">
        <w:rPr>
          <w:rFonts w:cs="Times New Roman"/>
          <w:szCs w:val="21"/>
        </w:rPr>
        <w:t xml:space="preserve"> we propose the following</w:t>
      </w:r>
      <w:r w:rsidR="000165E1">
        <w:rPr>
          <w:rFonts w:cs="Times New Roman"/>
          <w:szCs w:val="21"/>
        </w:rPr>
        <w:t>:</w:t>
      </w:r>
    </w:p>
    <w:p w14:paraId="3A90A10F" w14:textId="2A5906CF" w:rsidR="008D3990" w:rsidRDefault="008D3990" w:rsidP="006F6908">
      <w:pPr>
        <w:spacing w:beforeLines="50" w:before="120" w:after="240"/>
        <w:rPr>
          <w:b/>
        </w:rPr>
      </w:pPr>
      <w:r w:rsidRPr="00A4233F">
        <w:rPr>
          <w:b/>
        </w:rPr>
        <w:t xml:space="preserve">Proposal </w:t>
      </w:r>
      <w:r w:rsidR="006777FA">
        <w:rPr>
          <w:b/>
        </w:rPr>
        <w:t>6</w:t>
      </w:r>
      <w:r w:rsidRPr="00A4233F">
        <w:rPr>
          <w:b/>
        </w:rPr>
        <w:t xml:space="preserve">: </w:t>
      </w:r>
      <w:r w:rsidRPr="008D3990">
        <w:rPr>
          <w:b/>
        </w:rPr>
        <w:t>SN can configure the UE for IDC reporting for FDM enhancements</w:t>
      </w:r>
      <w:r w:rsidR="0058254F">
        <w:rPr>
          <w:b/>
        </w:rPr>
        <w:t xml:space="preserve"> in </w:t>
      </w:r>
      <w:r w:rsidR="00E67451">
        <w:rPr>
          <w:b/>
        </w:rPr>
        <w:t>both EN-DC and N</w:t>
      </w:r>
      <w:r w:rsidR="0058254F" w:rsidRPr="0058254F">
        <w:rPr>
          <w:b/>
        </w:rPr>
        <w:t>R-DC scenarios</w:t>
      </w:r>
      <w:r w:rsidR="00047DBE">
        <w:rPr>
          <w:b/>
        </w:rPr>
        <w:t xml:space="preserve"> either via SRB3 if SRB3 is configured, or via the SRB1 by using a container if SRB3 is not configured.</w:t>
      </w:r>
    </w:p>
    <w:p w14:paraId="5B9E10E9" w14:textId="34670C71" w:rsidR="00270447" w:rsidRPr="00270447" w:rsidRDefault="00047DBE" w:rsidP="00270447">
      <w:pPr>
        <w:spacing w:beforeLines="50" w:before="120" w:after="240"/>
        <w:rPr>
          <w:b/>
        </w:rPr>
      </w:pPr>
      <w:r>
        <w:rPr>
          <w:b/>
        </w:rPr>
        <w:t xml:space="preserve">Proposal </w:t>
      </w:r>
      <w:r w:rsidR="006777FA">
        <w:rPr>
          <w:b/>
        </w:rPr>
        <w:t>6a</w:t>
      </w:r>
      <w:r>
        <w:rPr>
          <w:b/>
        </w:rPr>
        <w:t xml:space="preserve">: </w:t>
      </w:r>
      <w:r w:rsidRPr="00047DBE">
        <w:rPr>
          <w:b/>
        </w:rPr>
        <w:t>For th</w:t>
      </w:r>
      <w:r w:rsidRPr="00270447">
        <w:rPr>
          <w:b/>
        </w:rPr>
        <w:t xml:space="preserve">e </w:t>
      </w:r>
      <w:r>
        <w:rPr>
          <w:b/>
        </w:rPr>
        <w:t>i</w:t>
      </w:r>
      <w:r w:rsidRPr="00047DBE">
        <w:rPr>
          <w:b/>
        </w:rPr>
        <w:t>ndividual affected frequency that is in the candidate serving frequency list configured by SN, the UE report</w:t>
      </w:r>
      <w:r w:rsidR="00270447">
        <w:rPr>
          <w:b/>
        </w:rPr>
        <w:t>s</w:t>
      </w:r>
      <w:r w:rsidRPr="00047DBE">
        <w:rPr>
          <w:b/>
        </w:rPr>
        <w:t xml:space="preserve"> the IDC assistance information to the SN either</w:t>
      </w:r>
      <w:r w:rsidRPr="00270447">
        <w:rPr>
          <w:b/>
        </w:rPr>
        <w:t xml:space="preserve"> via SRB3 if SRB3 is configured, or via the</w:t>
      </w:r>
      <w:r w:rsidRPr="00C74FFE">
        <w:rPr>
          <w:b/>
        </w:rPr>
        <w:t xml:space="preserve"> SRB1</w:t>
      </w:r>
      <w:r w:rsidRPr="00047DBE">
        <w:rPr>
          <w:b/>
        </w:rPr>
        <w:t xml:space="preserve"> by using a container if SRB3 is not configured</w:t>
      </w:r>
      <w:r w:rsidR="00270447">
        <w:rPr>
          <w:rFonts w:hint="eastAsia"/>
          <w:b/>
        </w:rPr>
        <w:t>.</w:t>
      </w:r>
    </w:p>
    <w:p w14:paraId="39FD2337" w14:textId="70550B56" w:rsidR="00505EEF" w:rsidRDefault="00505EEF" w:rsidP="006F6908">
      <w:pPr>
        <w:spacing w:beforeLines="50" w:before="120" w:after="240"/>
        <w:rPr>
          <w:b/>
        </w:rPr>
      </w:pPr>
      <w:r w:rsidRPr="00A4233F">
        <w:rPr>
          <w:b/>
        </w:rPr>
        <w:t xml:space="preserve">Proposal </w:t>
      </w:r>
      <w:r w:rsidR="006777FA">
        <w:rPr>
          <w:b/>
        </w:rPr>
        <w:t>7</w:t>
      </w:r>
      <w:r w:rsidRPr="00A4233F">
        <w:rPr>
          <w:b/>
        </w:rPr>
        <w:t>:</w:t>
      </w:r>
      <w:r w:rsidR="00E65F10">
        <w:rPr>
          <w:b/>
        </w:rPr>
        <w:t xml:space="preserve"> </w:t>
      </w:r>
      <w:r w:rsidR="00E65F10" w:rsidRPr="00E65F10">
        <w:rPr>
          <w:b/>
        </w:rPr>
        <w:t>Neither the coordination for IDC configuration to avoid the overlap of candidate frequency list nor the coordination for IDC solution between the MN and SN is needed</w:t>
      </w:r>
      <w:r w:rsidR="00371892">
        <w:rPr>
          <w:b/>
        </w:rPr>
        <w:t>.</w:t>
      </w:r>
    </w:p>
    <w:p w14:paraId="3B0A7311" w14:textId="7334119F" w:rsidR="00502F1A" w:rsidRDefault="006E40D7" w:rsidP="004526E2">
      <w:pPr>
        <w:pStyle w:val="Heading1"/>
        <w:numPr>
          <w:ilvl w:val="0"/>
          <w:numId w:val="10"/>
        </w:numPr>
        <w:rPr>
          <w:lang w:eastAsia="zh-CN"/>
        </w:rPr>
      </w:pPr>
      <w:r>
        <w:rPr>
          <w:lang w:eastAsia="zh-CN"/>
        </w:rPr>
        <w:t>Conclusions</w:t>
      </w:r>
    </w:p>
    <w:p w14:paraId="157C1A5A" w14:textId="4B23D915" w:rsidR="00611390" w:rsidRDefault="00DE1738" w:rsidP="00502F1A">
      <w:r>
        <w:t xml:space="preserve">In this contribution we provide our views/details on these open items. We first discuss the details of the </w:t>
      </w:r>
      <w:r w:rsidRPr="00851CCB">
        <w:t xml:space="preserve">information </w:t>
      </w:r>
      <w:r>
        <w:t xml:space="preserve">needed for </w:t>
      </w:r>
      <w:r w:rsidRPr="00851CCB">
        <w:t>UE reporting</w:t>
      </w:r>
      <w:r>
        <w:t>, followed by the</w:t>
      </w:r>
      <w:r w:rsidRPr="00851CCB">
        <w:t xml:space="preserve"> </w:t>
      </w:r>
      <w:r>
        <w:t xml:space="preserve">details of the </w:t>
      </w:r>
      <w:r w:rsidRPr="00851CCB">
        <w:t xml:space="preserve">configuration to enable the FDM enhancement from the </w:t>
      </w:r>
      <w:proofErr w:type="spellStart"/>
      <w:r w:rsidRPr="00851CCB">
        <w:t>gNB</w:t>
      </w:r>
      <w:proofErr w:type="spellEnd"/>
      <w:r>
        <w:t xml:space="preserve">. We then discuss </w:t>
      </w:r>
      <w:r w:rsidRPr="00851CCB">
        <w:t xml:space="preserve">whether SN </w:t>
      </w:r>
      <w:r>
        <w:t xml:space="preserve">needs to </w:t>
      </w:r>
      <w:r w:rsidRPr="00851CCB">
        <w:t>configure the IDC reporting for FDM enhancement</w:t>
      </w:r>
      <w:r>
        <w:t xml:space="preserve"> </w:t>
      </w:r>
      <w:r w:rsidRPr="00851CCB">
        <w:t xml:space="preserve">and </w:t>
      </w:r>
      <w:r>
        <w:t>high-level details of</w:t>
      </w:r>
      <w:r w:rsidRPr="00851CCB">
        <w:t xml:space="preserve"> the MN-SN coordination needed to configure the FDM enhancement</w:t>
      </w:r>
      <w:r>
        <w:t xml:space="preserve"> and to</w:t>
      </w:r>
      <w:r w:rsidRPr="00FD7255">
        <w:t xml:space="preserve"> address the IDC via FDM solution</w:t>
      </w:r>
      <w:r>
        <w:t xml:space="preserve"> . </w:t>
      </w:r>
      <w:bookmarkStart w:id="6" w:name="_Hlk127386207"/>
      <w:r>
        <w:t>Following observations and proposals are made.</w:t>
      </w:r>
      <w:bookmarkEnd w:id="6"/>
    </w:p>
    <w:p w14:paraId="394BC568" w14:textId="2AE10B43" w:rsidR="003A2CC5" w:rsidRDefault="003A2CC5" w:rsidP="00502F1A"/>
    <w:p w14:paraId="21DD3FE8" w14:textId="03FD0B6E" w:rsidR="003A2CC5" w:rsidRDefault="003A2CC5" w:rsidP="003A2CC5">
      <w:pPr>
        <w:rPr>
          <w:b/>
          <w:u w:val="single"/>
          <w:lang w:val="en-GB"/>
        </w:rPr>
      </w:pPr>
      <w:r w:rsidRPr="003A2CC5">
        <w:rPr>
          <w:b/>
          <w:u w:val="single"/>
          <w:lang w:val="en-GB"/>
        </w:rPr>
        <w:t>Contents of the IDC Reports from UE</w:t>
      </w:r>
    </w:p>
    <w:p w14:paraId="1679D312" w14:textId="1DAC206D" w:rsidR="003A2CC5" w:rsidRDefault="003A2CC5" w:rsidP="00502F1A"/>
    <w:p w14:paraId="4F1DB5E0" w14:textId="77777777" w:rsidR="003A2CC5" w:rsidRDefault="003A2CC5" w:rsidP="003A2CC5">
      <w:pPr>
        <w:rPr>
          <w:b/>
          <w:szCs w:val="21"/>
        </w:rPr>
      </w:pPr>
      <w:r w:rsidRPr="008337C6">
        <w:rPr>
          <w:b/>
          <w:szCs w:val="21"/>
        </w:rPr>
        <w:t xml:space="preserve">Proposal </w:t>
      </w:r>
      <w:r>
        <w:rPr>
          <w:b/>
          <w:szCs w:val="21"/>
        </w:rPr>
        <w:t>1- A</w:t>
      </w:r>
      <w:r w:rsidRPr="008337C6">
        <w:rPr>
          <w:b/>
          <w:szCs w:val="21"/>
        </w:rPr>
        <w:t xml:space="preserve">dopt Option 1 - </w:t>
      </w:r>
      <w:r w:rsidRPr="008337C6">
        <w:rPr>
          <w:b/>
          <w:bCs/>
          <w:color w:val="000000" w:themeColor="text1"/>
        </w:rPr>
        <w:t xml:space="preserve">Central frequency + Bandwidth of the actual affected frequency range </w:t>
      </w:r>
      <w:r w:rsidRPr="008337C6">
        <w:rPr>
          <w:b/>
          <w:szCs w:val="21"/>
        </w:rPr>
        <w:t>for reporting for FDM enhancements in R18.</w:t>
      </w:r>
    </w:p>
    <w:p w14:paraId="6F64C88A" w14:textId="75FED4B4" w:rsidR="003A2CC5" w:rsidRDefault="003A2CC5" w:rsidP="00502F1A"/>
    <w:p w14:paraId="5863228E" w14:textId="77777777" w:rsidR="003A2CC5" w:rsidRPr="00264A32" w:rsidRDefault="003A2CC5" w:rsidP="003A2CC5">
      <w:pPr>
        <w:rPr>
          <w:b/>
          <w:szCs w:val="21"/>
        </w:rPr>
      </w:pPr>
      <w:r w:rsidRPr="00264A32">
        <w:rPr>
          <w:b/>
          <w:szCs w:val="21"/>
        </w:rPr>
        <w:t xml:space="preserve">Proposal 2: For the NR UL CA and MR-DC with intermodulation </w:t>
      </w:r>
      <w:r w:rsidRPr="000B5421">
        <w:rPr>
          <w:b/>
          <w:szCs w:val="21"/>
        </w:rPr>
        <w:t xml:space="preserve">distortion interference </w:t>
      </w:r>
      <w:r>
        <w:rPr>
          <w:b/>
          <w:szCs w:val="21"/>
        </w:rPr>
        <w:t xml:space="preserve">related </w:t>
      </w:r>
      <w:r w:rsidRPr="00264A32">
        <w:rPr>
          <w:b/>
          <w:szCs w:val="21"/>
        </w:rPr>
        <w:t>IDC issue, if the UE can detect actually affected NR frequency range for each individual affected NR frequency included the affected frequency combination, the UE reports the central frequency + bandwidth to indicate the affected frequency range.</w:t>
      </w:r>
    </w:p>
    <w:p w14:paraId="4C32EAB6" w14:textId="0589A69B" w:rsidR="003A2CC5" w:rsidRDefault="003A2CC5" w:rsidP="00502F1A"/>
    <w:p w14:paraId="1FBF576B" w14:textId="6CAB5DC9" w:rsidR="006777FA" w:rsidRDefault="006777FA" w:rsidP="006777FA">
      <w:pPr>
        <w:rPr>
          <w:b/>
          <w:u w:val="single"/>
          <w:lang w:val="en-GB"/>
        </w:rPr>
      </w:pPr>
      <w:proofErr w:type="spellStart"/>
      <w:r w:rsidRPr="006777FA">
        <w:rPr>
          <w:b/>
          <w:u w:val="single"/>
          <w:lang w:val="en-GB"/>
        </w:rPr>
        <w:t>gNB</w:t>
      </w:r>
      <w:proofErr w:type="spellEnd"/>
      <w:r w:rsidRPr="006777FA">
        <w:rPr>
          <w:b/>
          <w:u w:val="single"/>
          <w:lang w:val="en-GB"/>
        </w:rPr>
        <w:t xml:space="preserve"> configuration and additional details of UE reporting for IDC</w:t>
      </w:r>
    </w:p>
    <w:p w14:paraId="0539E8FA" w14:textId="19AB632A" w:rsidR="006777FA" w:rsidRDefault="006777FA" w:rsidP="006777FA">
      <w:pPr>
        <w:rPr>
          <w:b/>
          <w:u w:val="single"/>
          <w:lang w:val="en-GB"/>
        </w:rPr>
      </w:pPr>
    </w:p>
    <w:p w14:paraId="722F8E32" w14:textId="77777777" w:rsidR="006777FA" w:rsidRDefault="006777FA" w:rsidP="006777FA">
      <w:pPr>
        <w:spacing w:beforeLines="50" w:before="120"/>
        <w:rPr>
          <w:b/>
        </w:rPr>
      </w:pPr>
      <w:r w:rsidRPr="00122B1D">
        <w:rPr>
          <w:b/>
        </w:rPr>
        <w:t xml:space="preserve">Proposal </w:t>
      </w:r>
      <w:r>
        <w:rPr>
          <w:b/>
        </w:rPr>
        <w:t>3</w:t>
      </w:r>
      <w:r w:rsidRPr="00122B1D">
        <w:rPr>
          <w:b/>
        </w:rPr>
        <w:t>:</w:t>
      </w:r>
      <w:r>
        <w:rPr>
          <w:b/>
        </w:rPr>
        <w:t xml:space="preserve"> For each </w:t>
      </w:r>
      <w:r w:rsidRPr="00122B1D">
        <w:rPr>
          <w:b/>
        </w:rPr>
        <w:t xml:space="preserve">candidate serving frequency (center frequency), the </w:t>
      </w:r>
      <w:proofErr w:type="spellStart"/>
      <w:r w:rsidRPr="00122B1D">
        <w:rPr>
          <w:b/>
        </w:rPr>
        <w:t>gNB</w:t>
      </w:r>
      <w:proofErr w:type="spellEnd"/>
      <w:r w:rsidRPr="00122B1D">
        <w:rPr>
          <w:b/>
        </w:rPr>
        <w:t xml:space="preserve"> </w:t>
      </w:r>
      <w:r>
        <w:rPr>
          <w:b/>
        </w:rPr>
        <w:t>will</w:t>
      </w:r>
      <w:r w:rsidRPr="00122B1D">
        <w:rPr>
          <w:b/>
        </w:rPr>
        <w:t xml:space="preserve"> configure the candidate bandwidth</w:t>
      </w:r>
      <w:r>
        <w:rPr>
          <w:b/>
        </w:rPr>
        <w:t xml:space="preserve">, the combination of </w:t>
      </w:r>
      <w:r w:rsidRPr="00122B1D">
        <w:rPr>
          <w:b/>
        </w:rPr>
        <w:t xml:space="preserve">which </w:t>
      </w:r>
      <w:r>
        <w:rPr>
          <w:b/>
        </w:rPr>
        <w:t xml:space="preserve">is used to indicate the </w:t>
      </w:r>
      <w:r w:rsidRPr="000A7772">
        <w:rPr>
          <w:b/>
        </w:rPr>
        <w:t>frequency range</w:t>
      </w:r>
      <w:r w:rsidRPr="00122B1D">
        <w:rPr>
          <w:b/>
        </w:rPr>
        <w:t xml:space="preserve"> </w:t>
      </w:r>
      <w:r>
        <w:rPr>
          <w:b/>
        </w:rPr>
        <w:t xml:space="preserve">of the corresponding candidate serving frequency </w:t>
      </w:r>
      <w:r w:rsidRPr="00122B1D">
        <w:rPr>
          <w:b/>
        </w:rPr>
        <w:t>the UE is request to report IDC issues</w:t>
      </w:r>
      <w:r>
        <w:rPr>
          <w:b/>
        </w:rPr>
        <w:t>.</w:t>
      </w:r>
    </w:p>
    <w:p w14:paraId="5F07F967" w14:textId="475D4292" w:rsidR="006777FA" w:rsidRDefault="006777FA" w:rsidP="006777FA">
      <w:pPr>
        <w:rPr>
          <w:b/>
          <w:u w:val="single"/>
          <w:lang w:val="en-GB"/>
        </w:rPr>
      </w:pPr>
    </w:p>
    <w:p w14:paraId="3F18A4E0" w14:textId="77777777" w:rsidR="006777FA" w:rsidRDefault="006777FA" w:rsidP="006777FA">
      <w:pPr>
        <w:spacing w:beforeLines="50" w:before="120"/>
        <w:rPr>
          <w:b/>
        </w:rPr>
      </w:pPr>
      <w:r w:rsidRPr="00122B1D">
        <w:rPr>
          <w:b/>
        </w:rPr>
        <w:t xml:space="preserve">Proposal </w:t>
      </w:r>
      <w:r>
        <w:rPr>
          <w:b/>
        </w:rPr>
        <w:t>4</w:t>
      </w:r>
      <w:r w:rsidRPr="00122B1D">
        <w:rPr>
          <w:b/>
        </w:rPr>
        <w:t>:</w:t>
      </w:r>
      <w:r>
        <w:rPr>
          <w:b/>
        </w:rPr>
        <w:t xml:space="preserve"> In order to limit the reporting overhead and to have relevant information for the </w:t>
      </w:r>
      <w:proofErr w:type="spellStart"/>
      <w:r>
        <w:rPr>
          <w:b/>
        </w:rPr>
        <w:t>gNB</w:t>
      </w:r>
      <w:proofErr w:type="spellEnd"/>
      <w:r>
        <w:rPr>
          <w:b/>
        </w:rPr>
        <w:t xml:space="preserve">, it is proposed that </w:t>
      </w:r>
      <w:r w:rsidRPr="000E080E">
        <w:rPr>
          <w:b/>
        </w:rPr>
        <w:t xml:space="preserve">the frequency range </w:t>
      </w:r>
      <w:r>
        <w:rPr>
          <w:b/>
        </w:rPr>
        <w:t xml:space="preserve">reported by the UE which is </w:t>
      </w:r>
      <w:r w:rsidRPr="000E080E">
        <w:rPr>
          <w:b/>
        </w:rPr>
        <w:t xml:space="preserve">determined by the affected bandwidth and central frequency are within the frequency range configured by the </w:t>
      </w:r>
      <w:proofErr w:type="spellStart"/>
      <w:r w:rsidRPr="000E080E">
        <w:rPr>
          <w:b/>
        </w:rPr>
        <w:t>gNB</w:t>
      </w:r>
      <w:proofErr w:type="spellEnd"/>
      <w:r w:rsidRPr="000E080E">
        <w:rPr>
          <w:b/>
        </w:rPr>
        <w:t xml:space="preserve"> for IDC</w:t>
      </w:r>
      <w:r>
        <w:rPr>
          <w:b/>
        </w:rPr>
        <w:t>.</w:t>
      </w:r>
    </w:p>
    <w:p w14:paraId="5FCFB9D2" w14:textId="6CE8BE4D" w:rsidR="006777FA" w:rsidRDefault="006777FA">
      <w:pPr>
        <w:widowControl/>
        <w:jc w:val="left"/>
        <w:rPr>
          <w:b/>
          <w:u w:val="single"/>
          <w:lang w:val="en-GB"/>
        </w:rPr>
      </w:pPr>
    </w:p>
    <w:p w14:paraId="0E15D149" w14:textId="77777777" w:rsidR="00D63D27" w:rsidRDefault="00D63D27" w:rsidP="00D63D27">
      <w:pPr>
        <w:spacing w:beforeLines="50" w:before="120"/>
        <w:rPr>
          <w:b/>
        </w:rPr>
      </w:pPr>
    </w:p>
    <w:p w14:paraId="0F18B06C" w14:textId="77777777" w:rsidR="00D63D27" w:rsidRDefault="00D63D27" w:rsidP="00D63D27">
      <w:pPr>
        <w:spacing w:beforeLines="50" w:before="120"/>
        <w:rPr>
          <w:b/>
        </w:rPr>
      </w:pPr>
    </w:p>
    <w:p w14:paraId="7D4E9FFB" w14:textId="760A9590" w:rsidR="00D63D27" w:rsidRDefault="00D63D27" w:rsidP="00D63D27">
      <w:pPr>
        <w:spacing w:beforeLines="50" w:before="120"/>
        <w:rPr>
          <w:b/>
        </w:rPr>
      </w:pPr>
      <w:r w:rsidRPr="00A4233F">
        <w:rPr>
          <w:b/>
        </w:rPr>
        <w:lastRenderedPageBreak/>
        <w:t xml:space="preserve">Proposal </w:t>
      </w:r>
      <w:r>
        <w:rPr>
          <w:b/>
        </w:rPr>
        <w:t>5</w:t>
      </w:r>
      <w:r w:rsidRPr="00A4233F">
        <w:rPr>
          <w:b/>
        </w:rPr>
        <w:t xml:space="preserve">: </w:t>
      </w:r>
      <w:r>
        <w:rPr>
          <w:b/>
        </w:rPr>
        <w:t xml:space="preserve">For a candidate frequency </w:t>
      </w:r>
      <w:r w:rsidRPr="00765864">
        <w:rPr>
          <w:b/>
        </w:rPr>
        <w:t xml:space="preserve">range indicated by the </w:t>
      </w:r>
      <w:proofErr w:type="spellStart"/>
      <w:r w:rsidRPr="00765864">
        <w:rPr>
          <w:b/>
        </w:rPr>
        <w:t>gNB</w:t>
      </w:r>
      <w:proofErr w:type="spellEnd"/>
      <w:r w:rsidRPr="00765864">
        <w:rPr>
          <w:b/>
        </w:rPr>
        <w:t>,</w:t>
      </w:r>
      <w:r w:rsidRPr="00E3480D">
        <w:rPr>
          <w:b/>
        </w:rPr>
        <w:t xml:space="preserve"> if the UE detects </w:t>
      </w:r>
      <w:r>
        <w:rPr>
          <w:b/>
        </w:rPr>
        <w:t xml:space="preserve">interference in </w:t>
      </w:r>
      <w:r w:rsidRPr="00E3480D">
        <w:rPr>
          <w:b/>
        </w:rPr>
        <w:t xml:space="preserve">both </w:t>
      </w:r>
      <w:r>
        <w:rPr>
          <w:b/>
        </w:rPr>
        <w:t>directions i.e.</w:t>
      </w:r>
      <w:r w:rsidRPr="00E3480D">
        <w:rPr>
          <w:b/>
        </w:rPr>
        <w:t xml:space="preserve"> interference from NR TX to non-3GPP RX and the interference from non-3GPP TX to NR RX, the UE report</w:t>
      </w:r>
      <w:r>
        <w:rPr>
          <w:b/>
        </w:rPr>
        <w:t>s</w:t>
      </w:r>
      <w:r w:rsidRPr="00E3480D">
        <w:rPr>
          <w:b/>
        </w:rPr>
        <w:t xml:space="preserve"> </w:t>
      </w:r>
      <w:r w:rsidRPr="00765864">
        <w:rPr>
          <w:b/>
        </w:rPr>
        <w:t>one affected frequency range along w</w:t>
      </w:r>
      <w:r w:rsidRPr="00975E2F">
        <w:rPr>
          <w:b/>
        </w:rPr>
        <w:t>ith</w:t>
      </w:r>
      <w:r w:rsidRPr="00C83919">
        <w:rPr>
          <w:b/>
        </w:rPr>
        <w:t xml:space="preserve"> interference direction set to “both”</w:t>
      </w:r>
      <w:r>
        <w:rPr>
          <w:b/>
        </w:rPr>
        <w:t xml:space="preserve"> if the affected frequency range is the same for the two directions</w:t>
      </w:r>
      <w:r w:rsidRPr="00C83919">
        <w:rPr>
          <w:b/>
        </w:rPr>
        <w:t xml:space="preserve">, </w:t>
      </w:r>
      <w:r>
        <w:rPr>
          <w:b/>
        </w:rPr>
        <w:t xml:space="preserve">otherwise, the UE reports </w:t>
      </w:r>
      <w:r w:rsidRPr="00C83919">
        <w:rPr>
          <w:b/>
        </w:rPr>
        <w:t xml:space="preserve">two affected frequency ranges </w:t>
      </w:r>
      <w:r w:rsidRPr="00765864">
        <w:rPr>
          <w:b/>
        </w:rPr>
        <w:t>along with interference direction set to “”NR and “other ” respectively</w:t>
      </w:r>
      <w:r>
        <w:t>.</w:t>
      </w:r>
    </w:p>
    <w:p w14:paraId="63B69C78" w14:textId="77777777" w:rsidR="006777FA" w:rsidRDefault="006777FA" w:rsidP="006777FA">
      <w:pPr>
        <w:rPr>
          <w:b/>
          <w:u w:val="single"/>
          <w:lang w:val="en-GB"/>
        </w:rPr>
      </w:pPr>
    </w:p>
    <w:p w14:paraId="2FA829AA" w14:textId="6A000786" w:rsidR="006777FA" w:rsidRDefault="006777FA" w:rsidP="006777FA">
      <w:pPr>
        <w:rPr>
          <w:b/>
          <w:u w:val="single"/>
          <w:lang w:val="en-GB"/>
        </w:rPr>
      </w:pPr>
      <w:r w:rsidRPr="006777FA">
        <w:rPr>
          <w:b/>
          <w:u w:val="single"/>
          <w:lang w:val="en-GB"/>
        </w:rPr>
        <w:t>FDM solution enhancement for MR-DC</w:t>
      </w:r>
    </w:p>
    <w:p w14:paraId="0CC94095" w14:textId="56E10536" w:rsidR="006777FA" w:rsidRDefault="006777FA" w:rsidP="00502F1A"/>
    <w:p w14:paraId="20CC6972" w14:textId="44D6F6D8" w:rsidR="006777FA" w:rsidRDefault="006777FA" w:rsidP="006777FA">
      <w:pPr>
        <w:spacing w:beforeLines="50" w:before="120" w:after="240"/>
        <w:rPr>
          <w:b/>
        </w:rPr>
      </w:pPr>
      <w:r w:rsidRPr="00A4233F">
        <w:rPr>
          <w:b/>
        </w:rPr>
        <w:t xml:space="preserve">Proposal </w:t>
      </w:r>
      <w:r>
        <w:rPr>
          <w:b/>
        </w:rPr>
        <w:t>6</w:t>
      </w:r>
      <w:r w:rsidRPr="00A4233F">
        <w:rPr>
          <w:b/>
        </w:rPr>
        <w:t xml:space="preserve">: </w:t>
      </w:r>
      <w:r w:rsidRPr="008D3990">
        <w:rPr>
          <w:b/>
        </w:rPr>
        <w:t>SN can configure the UE for IDC reporting for FDM enhancements</w:t>
      </w:r>
      <w:r>
        <w:rPr>
          <w:b/>
        </w:rPr>
        <w:t xml:space="preserve"> in both EN-DC and N</w:t>
      </w:r>
      <w:r w:rsidRPr="0058254F">
        <w:rPr>
          <w:b/>
        </w:rPr>
        <w:t>R-DC scenarios</w:t>
      </w:r>
      <w:r>
        <w:rPr>
          <w:b/>
        </w:rPr>
        <w:t xml:space="preserve"> either via SRB3 if SRB3 is configured, or via the SRB1 by using a container if SRB3 is not configured.</w:t>
      </w:r>
    </w:p>
    <w:p w14:paraId="5CF5F0A9" w14:textId="05C8988F" w:rsidR="006777FA" w:rsidRPr="00270447" w:rsidRDefault="006777FA" w:rsidP="006777FA">
      <w:pPr>
        <w:spacing w:beforeLines="50" w:before="120" w:after="240"/>
        <w:rPr>
          <w:b/>
        </w:rPr>
      </w:pPr>
      <w:r>
        <w:rPr>
          <w:b/>
        </w:rPr>
        <w:t xml:space="preserve">Proposal 6a: </w:t>
      </w:r>
      <w:r w:rsidRPr="00047DBE">
        <w:rPr>
          <w:b/>
        </w:rPr>
        <w:t>For th</w:t>
      </w:r>
      <w:r w:rsidRPr="00270447">
        <w:rPr>
          <w:b/>
        </w:rPr>
        <w:t xml:space="preserve">e </w:t>
      </w:r>
      <w:r>
        <w:rPr>
          <w:b/>
        </w:rPr>
        <w:t>i</w:t>
      </w:r>
      <w:r w:rsidRPr="00047DBE">
        <w:rPr>
          <w:b/>
        </w:rPr>
        <w:t>ndividual affected frequency that is in the candidate serving frequency list configured by SN, the UE report</w:t>
      </w:r>
      <w:r>
        <w:rPr>
          <w:b/>
        </w:rPr>
        <w:t>s</w:t>
      </w:r>
      <w:r w:rsidRPr="00047DBE">
        <w:rPr>
          <w:b/>
        </w:rPr>
        <w:t xml:space="preserve"> the IDC assistance information to the SN either</w:t>
      </w:r>
      <w:r w:rsidRPr="00270447">
        <w:rPr>
          <w:b/>
        </w:rPr>
        <w:t xml:space="preserve"> via SRB3 if SRB3 is configured, or via the</w:t>
      </w:r>
      <w:r w:rsidRPr="00C74FFE">
        <w:rPr>
          <w:b/>
        </w:rPr>
        <w:t xml:space="preserve"> SRB1</w:t>
      </w:r>
      <w:r w:rsidRPr="00047DBE">
        <w:rPr>
          <w:b/>
        </w:rPr>
        <w:t xml:space="preserve"> by using a container if SRB3 is not configured</w:t>
      </w:r>
      <w:r>
        <w:rPr>
          <w:rFonts w:hint="eastAsia"/>
          <w:b/>
        </w:rPr>
        <w:t>.</w:t>
      </w:r>
    </w:p>
    <w:p w14:paraId="621E70B7" w14:textId="7B91627D" w:rsidR="006777FA" w:rsidRDefault="006777FA" w:rsidP="006777FA">
      <w:pPr>
        <w:spacing w:beforeLines="50" w:before="120" w:after="240"/>
        <w:rPr>
          <w:b/>
        </w:rPr>
      </w:pPr>
      <w:r w:rsidRPr="00A4233F">
        <w:rPr>
          <w:b/>
        </w:rPr>
        <w:t xml:space="preserve">Proposal </w:t>
      </w:r>
      <w:r>
        <w:rPr>
          <w:b/>
        </w:rPr>
        <w:t>7</w:t>
      </w:r>
      <w:r w:rsidRPr="00A4233F">
        <w:rPr>
          <w:b/>
        </w:rPr>
        <w:t>:</w:t>
      </w:r>
      <w:r>
        <w:rPr>
          <w:b/>
        </w:rPr>
        <w:t xml:space="preserve"> </w:t>
      </w:r>
      <w:r w:rsidRPr="00E65F10">
        <w:rPr>
          <w:b/>
        </w:rPr>
        <w:t>Neither the coordination for IDC configuration to avoid the overlap of candidate frequency list nor the coordination for IDC solution between the MN and SN is needed</w:t>
      </w:r>
      <w:r>
        <w:rPr>
          <w:b/>
        </w:rPr>
        <w:t>.</w:t>
      </w:r>
    </w:p>
    <w:p w14:paraId="79732FC2" w14:textId="77777777" w:rsidR="003C5A0F" w:rsidRDefault="003C5A0F" w:rsidP="004526E2">
      <w:pPr>
        <w:pStyle w:val="Heading1"/>
        <w:numPr>
          <w:ilvl w:val="0"/>
          <w:numId w:val="10"/>
        </w:numPr>
        <w:rPr>
          <w:lang w:eastAsia="zh-CN"/>
        </w:rPr>
      </w:pPr>
      <w:r>
        <w:rPr>
          <w:lang w:eastAsia="zh-CN"/>
        </w:rPr>
        <w:t>References</w:t>
      </w:r>
    </w:p>
    <w:p w14:paraId="3DDED3FD" w14:textId="2724BE70" w:rsidR="00223D18" w:rsidRDefault="006E40D7" w:rsidP="004526E2">
      <w:pPr>
        <w:pStyle w:val="References"/>
        <w:numPr>
          <w:ilvl w:val="0"/>
          <w:numId w:val="11"/>
        </w:numPr>
      </w:pPr>
      <w:r w:rsidRPr="006E40D7">
        <w:t>RP-213589</w:t>
      </w:r>
      <w:r>
        <w:t xml:space="preserve"> </w:t>
      </w:r>
      <w:r w:rsidRPr="006E40D7">
        <w:t>New WI: In-Device Co-existence (IDC) enhancements for NR and MR-DC</w:t>
      </w:r>
    </w:p>
    <w:p w14:paraId="0DF27510" w14:textId="7B3BCB3F" w:rsidR="006E40D7" w:rsidRPr="006E40D7" w:rsidRDefault="0055689C" w:rsidP="004526E2">
      <w:pPr>
        <w:pStyle w:val="References"/>
        <w:numPr>
          <w:ilvl w:val="0"/>
          <w:numId w:val="11"/>
        </w:numPr>
      </w:pPr>
      <w:bookmarkStart w:id="7" w:name="_Ref100839412"/>
      <w:r>
        <w:rPr>
          <w:kern w:val="2"/>
          <w:lang w:eastAsia="zh-CN"/>
        </w:rPr>
        <w:t xml:space="preserve">TS </w:t>
      </w:r>
      <w:r w:rsidR="006E40D7">
        <w:rPr>
          <w:kern w:val="2"/>
          <w:lang w:eastAsia="zh-CN"/>
        </w:rPr>
        <w:t>38.331</w:t>
      </w:r>
      <w:bookmarkEnd w:id="7"/>
      <w:r w:rsidR="0026041E">
        <w:rPr>
          <w:kern w:val="2"/>
          <w:lang w:eastAsia="zh-CN"/>
        </w:rPr>
        <w:t xml:space="preserve"> NR </w:t>
      </w:r>
      <w:r w:rsidR="0026041E" w:rsidRPr="0026041E">
        <w:rPr>
          <w:kern w:val="2"/>
          <w:lang w:eastAsia="zh-CN"/>
        </w:rPr>
        <w:t>Radio Resource Control (RRC) protocol specification</w:t>
      </w:r>
      <w:r w:rsidR="0026041E">
        <w:rPr>
          <w:kern w:val="2"/>
          <w:lang w:eastAsia="zh-CN"/>
        </w:rPr>
        <w:t xml:space="preserve"> v 17.</w:t>
      </w:r>
      <w:r w:rsidR="00D63D27">
        <w:rPr>
          <w:kern w:val="2"/>
          <w:lang w:eastAsia="zh-CN"/>
        </w:rPr>
        <w:t>3</w:t>
      </w:r>
      <w:r w:rsidR="0026041E">
        <w:rPr>
          <w:kern w:val="2"/>
          <w:lang w:eastAsia="zh-CN"/>
        </w:rPr>
        <w:t>.0</w:t>
      </w:r>
    </w:p>
    <w:p w14:paraId="12DB0E5D" w14:textId="2036B1E7" w:rsidR="006E40D7" w:rsidRPr="00E9719F" w:rsidRDefault="006E40D7" w:rsidP="004526E2">
      <w:pPr>
        <w:pStyle w:val="References"/>
        <w:numPr>
          <w:ilvl w:val="0"/>
          <w:numId w:val="11"/>
        </w:numPr>
      </w:pPr>
      <w:r>
        <w:t>TS 36.331</w:t>
      </w:r>
      <w:r w:rsidR="0026041E">
        <w:t xml:space="preserve"> </w:t>
      </w:r>
      <w:r w:rsidR="0026041E">
        <w:rPr>
          <w:kern w:val="2"/>
          <w:lang w:eastAsia="zh-CN"/>
        </w:rPr>
        <w:t xml:space="preserve">LTE </w:t>
      </w:r>
      <w:r w:rsidR="0026041E" w:rsidRPr="0026041E">
        <w:rPr>
          <w:kern w:val="2"/>
          <w:lang w:eastAsia="zh-CN"/>
        </w:rPr>
        <w:t>Radio Resource Control (RRC) protocol specification</w:t>
      </w:r>
      <w:r w:rsidR="0026041E">
        <w:rPr>
          <w:kern w:val="2"/>
          <w:lang w:eastAsia="zh-CN"/>
        </w:rPr>
        <w:t xml:space="preserve"> v 17.</w:t>
      </w:r>
      <w:r w:rsidR="00D63D27">
        <w:rPr>
          <w:kern w:val="2"/>
          <w:lang w:eastAsia="zh-CN"/>
        </w:rPr>
        <w:t>3</w:t>
      </w:r>
      <w:r w:rsidR="0026041E">
        <w:rPr>
          <w:kern w:val="2"/>
          <w:lang w:eastAsia="zh-CN"/>
        </w:rPr>
        <w:t>.0</w:t>
      </w:r>
    </w:p>
    <w:p w14:paraId="2C1228C2" w14:textId="6A6C1B49" w:rsidR="003F3B14" w:rsidRPr="003F3B14" w:rsidRDefault="00D63D27" w:rsidP="003F3B14">
      <w:pPr>
        <w:pStyle w:val="References"/>
        <w:numPr>
          <w:ilvl w:val="0"/>
          <w:numId w:val="11"/>
        </w:numPr>
        <w:rPr>
          <w:sz w:val="18"/>
        </w:rPr>
      </w:pPr>
      <w:r w:rsidRPr="00D63D27">
        <w:rPr>
          <w:szCs w:val="22"/>
        </w:rPr>
        <w:t>R2-2301486</w:t>
      </w:r>
      <w:r>
        <w:rPr>
          <w:szCs w:val="22"/>
        </w:rPr>
        <w:t xml:space="preserve"> </w:t>
      </w:r>
      <w:r w:rsidRPr="00D63D27">
        <w:rPr>
          <w:szCs w:val="22"/>
        </w:rPr>
        <w:t>Summary of [Post120][652][IDC] Further details of FDM solution (Huawei)</w:t>
      </w:r>
      <w:r>
        <w:rPr>
          <w:szCs w:val="22"/>
        </w:rPr>
        <w:t xml:space="preserve"> </w:t>
      </w:r>
    </w:p>
    <w:p w14:paraId="532001D0" w14:textId="26B7693D" w:rsidR="0055689C" w:rsidRDefault="0055689C" w:rsidP="0026041E">
      <w:pPr>
        <w:pStyle w:val="References"/>
        <w:tabs>
          <w:tab w:val="clear" w:pos="360"/>
        </w:tabs>
        <w:ind w:left="420" w:firstLine="0"/>
      </w:pPr>
    </w:p>
    <w:sectPr w:rsidR="0055689C">
      <w:headerReference w:type="even"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5CC73" w14:textId="77777777" w:rsidR="00DD50B2" w:rsidRDefault="00DD50B2">
      <w:r>
        <w:separator/>
      </w:r>
    </w:p>
  </w:endnote>
  <w:endnote w:type="continuationSeparator" w:id="0">
    <w:p w14:paraId="3205E385" w14:textId="77777777" w:rsidR="00DD50B2" w:rsidRDefault="00DD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E20207" w:rsidRDefault="00E20207">
    <w:pPr>
      <w:pStyle w:val="Footer"/>
      <w:jc w:val="right"/>
    </w:pPr>
    <w:r>
      <w:fldChar w:fldCharType="begin"/>
    </w:r>
    <w:r>
      <w:instrText xml:space="preserve"> PAGE   \* MERGEFORMAT </w:instrText>
    </w:r>
    <w:r>
      <w:fldChar w:fldCharType="separate"/>
    </w:r>
    <w:r w:rsidR="00BF2F1B">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CA70D" w14:textId="77777777" w:rsidR="00DD50B2" w:rsidRDefault="00DD50B2">
      <w:r>
        <w:separator/>
      </w:r>
    </w:p>
  </w:footnote>
  <w:footnote w:type="continuationSeparator" w:id="0">
    <w:p w14:paraId="49A0372C" w14:textId="77777777" w:rsidR="00DD50B2" w:rsidRDefault="00DD5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E20207" w:rsidRDefault="00E20207"/>
  <w:p w14:paraId="41EB02E3" w14:textId="77777777" w:rsidR="00E20207" w:rsidRDefault="00E202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9C56063"/>
    <w:multiLevelType w:val="hybridMultilevel"/>
    <w:tmpl w:val="EBC8E670"/>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336CCC"/>
    <w:multiLevelType w:val="hybridMultilevel"/>
    <w:tmpl w:val="31722E84"/>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 w15:restartNumberingAfterBreak="0">
    <w:nsid w:val="27494DFA"/>
    <w:multiLevelType w:val="hybridMultilevel"/>
    <w:tmpl w:val="83444014"/>
    <w:lvl w:ilvl="0" w:tplc="4A2CF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A756C4"/>
    <w:multiLevelType w:val="hybridMultilevel"/>
    <w:tmpl w:val="E1064684"/>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812DF4"/>
    <w:multiLevelType w:val="hybridMultilevel"/>
    <w:tmpl w:val="31563E72"/>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0"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FF5AE2"/>
    <w:multiLevelType w:val="hybridMultilevel"/>
    <w:tmpl w:val="D9C05832"/>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4" w15:restartNumberingAfterBreak="0">
    <w:nsid w:val="589809DB"/>
    <w:multiLevelType w:val="hybridMultilevel"/>
    <w:tmpl w:val="7B90A89C"/>
    <w:lvl w:ilvl="0" w:tplc="7056319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F10986"/>
    <w:multiLevelType w:val="hybridMultilevel"/>
    <w:tmpl w:val="A0C63792"/>
    <w:lvl w:ilvl="0" w:tplc="07802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1005D2"/>
    <w:multiLevelType w:val="hybridMultilevel"/>
    <w:tmpl w:val="CFF0B1DE"/>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490559"/>
    <w:multiLevelType w:val="hybridMultilevel"/>
    <w:tmpl w:val="9EEE7D5A"/>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20"/>
  </w:num>
  <w:num w:numId="4">
    <w:abstractNumId w:val="13"/>
  </w:num>
  <w:num w:numId="5">
    <w:abstractNumId w:val="17"/>
  </w:num>
  <w:num w:numId="6">
    <w:abstractNumId w:val="16"/>
  </w:num>
  <w:num w:numId="7">
    <w:abstractNumId w:val="6"/>
  </w:num>
  <w:num w:numId="8">
    <w:abstractNumId w:val="12"/>
  </w:num>
  <w:num w:numId="9">
    <w:abstractNumId w:val="8"/>
  </w:num>
  <w:num w:numId="10">
    <w:abstractNumId w:val="0"/>
  </w:num>
  <w:num w:numId="11">
    <w:abstractNumId w:val="10"/>
  </w:num>
  <w:num w:numId="12">
    <w:abstractNumId w:val="9"/>
  </w:num>
  <w:num w:numId="13">
    <w:abstractNumId w:val="2"/>
  </w:num>
  <w:num w:numId="14">
    <w:abstractNumId w:val="19"/>
  </w:num>
  <w:num w:numId="15">
    <w:abstractNumId w:val="18"/>
  </w:num>
  <w:num w:numId="16">
    <w:abstractNumId w:val="11"/>
  </w:num>
  <w:num w:numId="17">
    <w:abstractNumId w:val="7"/>
  </w:num>
  <w:num w:numId="18">
    <w:abstractNumId w:val="1"/>
  </w:num>
  <w:num w:numId="19">
    <w:abstractNumId w:val="3"/>
  </w:num>
  <w:num w:numId="20">
    <w:abstractNumId w:val="14"/>
  </w:num>
  <w:num w:numId="2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14AB"/>
    <w:rsid w:val="000117D5"/>
    <w:rsid w:val="00012FA3"/>
    <w:rsid w:val="00013716"/>
    <w:rsid w:val="00013808"/>
    <w:rsid w:val="00013966"/>
    <w:rsid w:val="00013E9A"/>
    <w:rsid w:val="00014471"/>
    <w:rsid w:val="00015C81"/>
    <w:rsid w:val="000165E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726"/>
    <w:rsid w:val="00026000"/>
    <w:rsid w:val="00026FE8"/>
    <w:rsid w:val="0002710C"/>
    <w:rsid w:val="00027452"/>
    <w:rsid w:val="000301EE"/>
    <w:rsid w:val="00030340"/>
    <w:rsid w:val="00031014"/>
    <w:rsid w:val="000312B3"/>
    <w:rsid w:val="00031309"/>
    <w:rsid w:val="000327E2"/>
    <w:rsid w:val="00032A4F"/>
    <w:rsid w:val="00033D91"/>
    <w:rsid w:val="00033DA0"/>
    <w:rsid w:val="00034186"/>
    <w:rsid w:val="000342F0"/>
    <w:rsid w:val="000343F1"/>
    <w:rsid w:val="00034424"/>
    <w:rsid w:val="00034DCC"/>
    <w:rsid w:val="00035750"/>
    <w:rsid w:val="0003599E"/>
    <w:rsid w:val="00035A9E"/>
    <w:rsid w:val="00036903"/>
    <w:rsid w:val="0003704E"/>
    <w:rsid w:val="00037675"/>
    <w:rsid w:val="00037787"/>
    <w:rsid w:val="00037A9E"/>
    <w:rsid w:val="00040732"/>
    <w:rsid w:val="000407CE"/>
    <w:rsid w:val="00040E11"/>
    <w:rsid w:val="00040E8E"/>
    <w:rsid w:val="000411F6"/>
    <w:rsid w:val="0004189C"/>
    <w:rsid w:val="000420C1"/>
    <w:rsid w:val="000420C7"/>
    <w:rsid w:val="00042152"/>
    <w:rsid w:val="00042F98"/>
    <w:rsid w:val="00043D06"/>
    <w:rsid w:val="00043EF4"/>
    <w:rsid w:val="00044289"/>
    <w:rsid w:val="000450F0"/>
    <w:rsid w:val="0004520F"/>
    <w:rsid w:val="00045A31"/>
    <w:rsid w:val="00045B44"/>
    <w:rsid w:val="00045D7F"/>
    <w:rsid w:val="00045E9C"/>
    <w:rsid w:val="000464B7"/>
    <w:rsid w:val="00047DBE"/>
    <w:rsid w:val="00050381"/>
    <w:rsid w:val="00050864"/>
    <w:rsid w:val="0005130B"/>
    <w:rsid w:val="000518A9"/>
    <w:rsid w:val="0005221C"/>
    <w:rsid w:val="00052823"/>
    <w:rsid w:val="00053AF8"/>
    <w:rsid w:val="00053D84"/>
    <w:rsid w:val="0005413B"/>
    <w:rsid w:val="00054FD8"/>
    <w:rsid w:val="00056809"/>
    <w:rsid w:val="00057009"/>
    <w:rsid w:val="00057BC0"/>
    <w:rsid w:val="00057F08"/>
    <w:rsid w:val="00061DFF"/>
    <w:rsid w:val="0006261D"/>
    <w:rsid w:val="00062C9D"/>
    <w:rsid w:val="00064A6E"/>
    <w:rsid w:val="00064A7A"/>
    <w:rsid w:val="00064D9C"/>
    <w:rsid w:val="000650E9"/>
    <w:rsid w:val="000667D3"/>
    <w:rsid w:val="00067FD8"/>
    <w:rsid w:val="00070619"/>
    <w:rsid w:val="00072330"/>
    <w:rsid w:val="0007480E"/>
    <w:rsid w:val="000772C8"/>
    <w:rsid w:val="00077FF7"/>
    <w:rsid w:val="00080E74"/>
    <w:rsid w:val="00082852"/>
    <w:rsid w:val="00082974"/>
    <w:rsid w:val="00082FEF"/>
    <w:rsid w:val="00083D36"/>
    <w:rsid w:val="00083D96"/>
    <w:rsid w:val="000840F8"/>
    <w:rsid w:val="00084BFA"/>
    <w:rsid w:val="00084CF0"/>
    <w:rsid w:val="00084F24"/>
    <w:rsid w:val="00086192"/>
    <w:rsid w:val="00086533"/>
    <w:rsid w:val="000875EB"/>
    <w:rsid w:val="0008778A"/>
    <w:rsid w:val="00087823"/>
    <w:rsid w:val="0008789B"/>
    <w:rsid w:val="0009004E"/>
    <w:rsid w:val="00090352"/>
    <w:rsid w:val="00091A13"/>
    <w:rsid w:val="00091CEA"/>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3ECB"/>
    <w:rsid w:val="000A501A"/>
    <w:rsid w:val="000A5FD1"/>
    <w:rsid w:val="000A60BC"/>
    <w:rsid w:val="000A7772"/>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421"/>
    <w:rsid w:val="000B5511"/>
    <w:rsid w:val="000B5874"/>
    <w:rsid w:val="000B58ED"/>
    <w:rsid w:val="000B5E22"/>
    <w:rsid w:val="000B6051"/>
    <w:rsid w:val="000B6522"/>
    <w:rsid w:val="000B685E"/>
    <w:rsid w:val="000B6B62"/>
    <w:rsid w:val="000B7581"/>
    <w:rsid w:val="000C2BEA"/>
    <w:rsid w:val="000C3877"/>
    <w:rsid w:val="000C40B5"/>
    <w:rsid w:val="000C44BE"/>
    <w:rsid w:val="000C44DB"/>
    <w:rsid w:val="000C4FEC"/>
    <w:rsid w:val="000C52BE"/>
    <w:rsid w:val="000C682E"/>
    <w:rsid w:val="000C760D"/>
    <w:rsid w:val="000D25D8"/>
    <w:rsid w:val="000D2BA1"/>
    <w:rsid w:val="000D3469"/>
    <w:rsid w:val="000D3937"/>
    <w:rsid w:val="000D4025"/>
    <w:rsid w:val="000D4D35"/>
    <w:rsid w:val="000D5EC5"/>
    <w:rsid w:val="000D6934"/>
    <w:rsid w:val="000D6ED8"/>
    <w:rsid w:val="000E01C2"/>
    <w:rsid w:val="000E0794"/>
    <w:rsid w:val="000E080E"/>
    <w:rsid w:val="000E1047"/>
    <w:rsid w:val="000E1384"/>
    <w:rsid w:val="000E1761"/>
    <w:rsid w:val="000E1C6F"/>
    <w:rsid w:val="000E2B1E"/>
    <w:rsid w:val="000E2D60"/>
    <w:rsid w:val="000E2D6C"/>
    <w:rsid w:val="000E47DB"/>
    <w:rsid w:val="000E4D56"/>
    <w:rsid w:val="000E5308"/>
    <w:rsid w:val="000E5E98"/>
    <w:rsid w:val="000E62AB"/>
    <w:rsid w:val="000E6B1D"/>
    <w:rsid w:val="000E6FD6"/>
    <w:rsid w:val="000E7013"/>
    <w:rsid w:val="000E7C2C"/>
    <w:rsid w:val="000F00AA"/>
    <w:rsid w:val="000F01D1"/>
    <w:rsid w:val="000F2CB1"/>
    <w:rsid w:val="000F32C2"/>
    <w:rsid w:val="000F34F3"/>
    <w:rsid w:val="000F3C64"/>
    <w:rsid w:val="000F3E4E"/>
    <w:rsid w:val="000F3FE1"/>
    <w:rsid w:val="000F4705"/>
    <w:rsid w:val="000F6B6A"/>
    <w:rsid w:val="000F780F"/>
    <w:rsid w:val="001019D9"/>
    <w:rsid w:val="00102953"/>
    <w:rsid w:val="0010475C"/>
    <w:rsid w:val="00104B15"/>
    <w:rsid w:val="00105C70"/>
    <w:rsid w:val="00110142"/>
    <w:rsid w:val="001101B1"/>
    <w:rsid w:val="00110FD5"/>
    <w:rsid w:val="0011179D"/>
    <w:rsid w:val="00111EA3"/>
    <w:rsid w:val="00112FA8"/>
    <w:rsid w:val="0011352E"/>
    <w:rsid w:val="00113921"/>
    <w:rsid w:val="0011643C"/>
    <w:rsid w:val="00121206"/>
    <w:rsid w:val="00121310"/>
    <w:rsid w:val="00121A62"/>
    <w:rsid w:val="00122339"/>
    <w:rsid w:val="00122AE4"/>
    <w:rsid w:val="00122B1D"/>
    <w:rsid w:val="00122FB2"/>
    <w:rsid w:val="00123FD9"/>
    <w:rsid w:val="00124573"/>
    <w:rsid w:val="00124829"/>
    <w:rsid w:val="001250E0"/>
    <w:rsid w:val="00125323"/>
    <w:rsid w:val="0012544B"/>
    <w:rsid w:val="00125613"/>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6176"/>
    <w:rsid w:val="00137269"/>
    <w:rsid w:val="00137A6A"/>
    <w:rsid w:val="001400E0"/>
    <w:rsid w:val="00140A69"/>
    <w:rsid w:val="0014137C"/>
    <w:rsid w:val="00141906"/>
    <w:rsid w:val="00143206"/>
    <w:rsid w:val="0014406D"/>
    <w:rsid w:val="001463A1"/>
    <w:rsid w:val="001469BB"/>
    <w:rsid w:val="00147772"/>
    <w:rsid w:val="00147B18"/>
    <w:rsid w:val="001501F6"/>
    <w:rsid w:val="0015042B"/>
    <w:rsid w:val="00150856"/>
    <w:rsid w:val="00151577"/>
    <w:rsid w:val="0015159A"/>
    <w:rsid w:val="00151930"/>
    <w:rsid w:val="00151FAA"/>
    <w:rsid w:val="00152C4D"/>
    <w:rsid w:val="00152CF0"/>
    <w:rsid w:val="00152CFC"/>
    <w:rsid w:val="00153B92"/>
    <w:rsid w:val="00154C6F"/>
    <w:rsid w:val="00155959"/>
    <w:rsid w:val="00155AC9"/>
    <w:rsid w:val="0015687E"/>
    <w:rsid w:val="00157D2F"/>
    <w:rsid w:val="00160044"/>
    <w:rsid w:val="001609FE"/>
    <w:rsid w:val="00160EDF"/>
    <w:rsid w:val="00162146"/>
    <w:rsid w:val="0016327B"/>
    <w:rsid w:val="001633E2"/>
    <w:rsid w:val="00164F70"/>
    <w:rsid w:val="00165B54"/>
    <w:rsid w:val="0016618C"/>
    <w:rsid w:val="001662C6"/>
    <w:rsid w:val="0016636B"/>
    <w:rsid w:val="00170185"/>
    <w:rsid w:val="001708BE"/>
    <w:rsid w:val="00170A6E"/>
    <w:rsid w:val="00170CF0"/>
    <w:rsid w:val="001713B4"/>
    <w:rsid w:val="00172032"/>
    <w:rsid w:val="00172C8D"/>
    <w:rsid w:val="00173513"/>
    <w:rsid w:val="00174C9B"/>
    <w:rsid w:val="00174E92"/>
    <w:rsid w:val="00174F14"/>
    <w:rsid w:val="001753DA"/>
    <w:rsid w:val="0017555C"/>
    <w:rsid w:val="00176C01"/>
    <w:rsid w:val="00176D00"/>
    <w:rsid w:val="0018224F"/>
    <w:rsid w:val="0018308A"/>
    <w:rsid w:val="001837F3"/>
    <w:rsid w:val="00184029"/>
    <w:rsid w:val="00184B45"/>
    <w:rsid w:val="00185BC2"/>
    <w:rsid w:val="001865B1"/>
    <w:rsid w:val="001902C9"/>
    <w:rsid w:val="001903F2"/>
    <w:rsid w:val="0019074B"/>
    <w:rsid w:val="00190A6B"/>
    <w:rsid w:val="00190E8C"/>
    <w:rsid w:val="00191754"/>
    <w:rsid w:val="00191FB0"/>
    <w:rsid w:val="00193815"/>
    <w:rsid w:val="00193D36"/>
    <w:rsid w:val="001943BC"/>
    <w:rsid w:val="00194DF4"/>
    <w:rsid w:val="00195073"/>
    <w:rsid w:val="0019520A"/>
    <w:rsid w:val="00195757"/>
    <w:rsid w:val="00195E20"/>
    <w:rsid w:val="001972C4"/>
    <w:rsid w:val="00197EF4"/>
    <w:rsid w:val="001A014C"/>
    <w:rsid w:val="001A0248"/>
    <w:rsid w:val="001A1A94"/>
    <w:rsid w:val="001A31DA"/>
    <w:rsid w:val="001A3BC4"/>
    <w:rsid w:val="001A4AF8"/>
    <w:rsid w:val="001A4F3E"/>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6F1F"/>
    <w:rsid w:val="001C77FE"/>
    <w:rsid w:val="001C7A86"/>
    <w:rsid w:val="001D0328"/>
    <w:rsid w:val="001D134B"/>
    <w:rsid w:val="001D146D"/>
    <w:rsid w:val="001D178C"/>
    <w:rsid w:val="001D1AC4"/>
    <w:rsid w:val="001D1F06"/>
    <w:rsid w:val="001D351B"/>
    <w:rsid w:val="001D4279"/>
    <w:rsid w:val="001D5560"/>
    <w:rsid w:val="001D5C98"/>
    <w:rsid w:val="001D74E0"/>
    <w:rsid w:val="001D78EB"/>
    <w:rsid w:val="001D7FE6"/>
    <w:rsid w:val="001E0869"/>
    <w:rsid w:val="001E08FD"/>
    <w:rsid w:val="001E2566"/>
    <w:rsid w:val="001E31B2"/>
    <w:rsid w:val="001E4183"/>
    <w:rsid w:val="001E499B"/>
    <w:rsid w:val="001E5660"/>
    <w:rsid w:val="001E5A8F"/>
    <w:rsid w:val="001E632D"/>
    <w:rsid w:val="001E6FC3"/>
    <w:rsid w:val="001E7476"/>
    <w:rsid w:val="001E7F2E"/>
    <w:rsid w:val="001F152F"/>
    <w:rsid w:val="001F1914"/>
    <w:rsid w:val="001F1980"/>
    <w:rsid w:val="001F19F6"/>
    <w:rsid w:val="001F29BD"/>
    <w:rsid w:val="001F31F0"/>
    <w:rsid w:val="001F3438"/>
    <w:rsid w:val="001F37F5"/>
    <w:rsid w:val="001F419A"/>
    <w:rsid w:val="001F4EFB"/>
    <w:rsid w:val="001F5E69"/>
    <w:rsid w:val="001F6187"/>
    <w:rsid w:val="001F6251"/>
    <w:rsid w:val="001F6A63"/>
    <w:rsid w:val="001F6FEF"/>
    <w:rsid w:val="001F7A85"/>
    <w:rsid w:val="002002CC"/>
    <w:rsid w:val="0020139A"/>
    <w:rsid w:val="002019C2"/>
    <w:rsid w:val="002028F6"/>
    <w:rsid w:val="0020347F"/>
    <w:rsid w:val="00203774"/>
    <w:rsid w:val="00203D64"/>
    <w:rsid w:val="00204631"/>
    <w:rsid w:val="00204A09"/>
    <w:rsid w:val="0020747C"/>
    <w:rsid w:val="002075CB"/>
    <w:rsid w:val="00207D40"/>
    <w:rsid w:val="002104D7"/>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925"/>
    <w:rsid w:val="00223D18"/>
    <w:rsid w:val="00224F0F"/>
    <w:rsid w:val="00225432"/>
    <w:rsid w:val="00226398"/>
    <w:rsid w:val="00226F0E"/>
    <w:rsid w:val="002302F7"/>
    <w:rsid w:val="002312D8"/>
    <w:rsid w:val="002318FA"/>
    <w:rsid w:val="002320BC"/>
    <w:rsid w:val="00233156"/>
    <w:rsid w:val="00233732"/>
    <w:rsid w:val="0023389C"/>
    <w:rsid w:val="00234433"/>
    <w:rsid w:val="00235B3C"/>
    <w:rsid w:val="00235B53"/>
    <w:rsid w:val="0023602C"/>
    <w:rsid w:val="00237857"/>
    <w:rsid w:val="00237AF1"/>
    <w:rsid w:val="002403AF"/>
    <w:rsid w:val="0024040E"/>
    <w:rsid w:val="002408AC"/>
    <w:rsid w:val="00240BDC"/>
    <w:rsid w:val="00242430"/>
    <w:rsid w:val="00242A87"/>
    <w:rsid w:val="0024397D"/>
    <w:rsid w:val="00243F53"/>
    <w:rsid w:val="002443F1"/>
    <w:rsid w:val="002445A1"/>
    <w:rsid w:val="002445EF"/>
    <w:rsid w:val="0024522E"/>
    <w:rsid w:val="00245EA1"/>
    <w:rsid w:val="00250EAC"/>
    <w:rsid w:val="00251A80"/>
    <w:rsid w:val="00252ADD"/>
    <w:rsid w:val="002538F3"/>
    <w:rsid w:val="00253EE4"/>
    <w:rsid w:val="0025483C"/>
    <w:rsid w:val="00255213"/>
    <w:rsid w:val="00255D5F"/>
    <w:rsid w:val="00257F0E"/>
    <w:rsid w:val="002600F1"/>
    <w:rsid w:val="0026041E"/>
    <w:rsid w:val="00260B85"/>
    <w:rsid w:val="00261813"/>
    <w:rsid w:val="002636CD"/>
    <w:rsid w:val="00263BB9"/>
    <w:rsid w:val="00264682"/>
    <w:rsid w:val="0026475A"/>
    <w:rsid w:val="00264A32"/>
    <w:rsid w:val="00264AC4"/>
    <w:rsid w:val="00264F2E"/>
    <w:rsid w:val="002650D2"/>
    <w:rsid w:val="00265481"/>
    <w:rsid w:val="002663BB"/>
    <w:rsid w:val="0026665C"/>
    <w:rsid w:val="00270447"/>
    <w:rsid w:val="002706C5"/>
    <w:rsid w:val="002714BE"/>
    <w:rsid w:val="00271E72"/>
    <w:rsid w:val="00272FA2"/>
    <w:rsid w:val="00274404"/>
    <w:rsid w:val="00274A8C"/>
    <w:rsid w:val="00275293"/>
    <w:rsid w:val="00275336"/>
    <w:rsid w:val="00276678"/>
    <w:rsid w:val="00277919"/>
    <w:rsid w:val="00281DCC"/>
    <w:rsid w:val="00281F35"/>
    <w:rsid w:val="00282F88"/>
    <w:rsid w:val="00283073"/>
    <w:rsid w:val="00283582"/>
    <w:rsid w:val="00283B47"/>
    <w:rsid w:val="0028454B"/>
    <w:rsid w:val="00284A1B"/>
    <w:rsid w:val="00285AA4"/>
    <w:rsid w:val="00285C25"/>
    <w:rsid w:val="00285D6C"/>
    <w:rsid w:val="002873C7"/>
    <w:rsid w:val="00287692"/>
    <w:rsid w:val="002877F4"/>
    <w:rsid w:val="00287D87"/>
    <w:rsid w:val="00290102"/>
    <w:rsid w:val="002908D4"/>
    <w:rsid w:val="002908DA"/>
    <w:rsid w:val="00292C31"/>
    <w:rsid w:val="00293EB0"/>
    <w:rsid w:val="0029489C"/>
    <w:rsid w:val="00294AF0"/>
    <w:rsid w:val="00295320"/>
    <w:rsid w:val="00296000"/>
    <w:rsid w:val="00297114"/>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5383"/>
    <w:rsid w:val="002B5B4B"/>
    <w:rsid w:val="002B6E30"/>
    <w:rsid w:val="002B75B4"/>
    <w:rsid w:val="002B75E2"/>
    <w:rsid w:val="002B7A5D"/>
    <w:rsid w:val="002C1F6E"/>
    <w:rsid w:val="002C2576"/>
    <w:rsid w:val="002C2587"/>
    <w:rsid w:val="002C2782"/>
    <w:rsid w:val="002C34CC"/>
    <w:rsid w:val="002C3A4E"/>
    <w:rsid w:val="002C3F71"/>
    <w:rsid w:val="002C4884"/>
    <w:rsid w:val="002C59C9"/>
    <w:rsid w:val="002C64C2"/>
    <w:rsid w:val="002C6A5C"/>
    <w:rsid w:val="002C715D"/>
    <w:rsid w:val="002C72E3"/>
    <w:rsid w:val="002D0DE1"/>
    <w:rsid w:val="002D1166"/>
    <w:rsid w:val="002D12E8"/>
    <w:rsid w:val="002D1764"/>
    <w:rsid w:val="002D1D8A"/>
    <w:rsid w:val="002D357E"/>
    <w:rsid w:val="002D3F09"/>
    <w:rsid w:val="002D5D6C"/>
    <w:rsid w:val="002D5D7C"/>
    <w:rsid w:val="002D5DD6"/>
    <w:rsid w:val="002D78B9"/>
    <w:rsid w:val="002D7A41"/>
    <w:rsid w:val="002E018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BBF"/>
    <w:rsid w:val="002F50E3"/>
    <w:rsid w:val="002F5867"/>
    <w:rsid w:val="002F612D"/>
    <w:rsid w:val="002F689E"/>
    <w:rsid w:val="002F69E7"/>
    <w:rsid w:val="003002A1"/>
    <w:rsid w:val="003002A8"/>
    <w:rsid w:val="00300835"/>
    <w:rsid w:val="00300850"/>
    <w:rsid w:val="00300DBE"/>
    <w:rsid w:val="00301117"/>
    <w:rsid w:val="003011EF"/>
    <w:rsid w:val="0030145C"/>
    <w:rsid w:val="0030192B"/>
    <w:rsid w:val="003023AA"/>
    <w:rsid w:val="00302418"/>
    <w:rsid w:val="00302D54"/>
    <w:rsid w:val="003030C8"/>
    <w:rsid w:val="00303102"/>
    <w:rsid w:val="003032B5"/>
    <w:rsid w:val="003038F6"/>
    <w:rsid w:val="00303C5C"/>
    <w:rsid w:val="003044F8"/>
    <w:rsid w:val="00305FDA"/>
    <w:rsid w:val="0030653A"/>
    <w:rsid w:val="003074D7"/>
    <w:rsid w:val="00307967"/>
    <w:rsid w:val="003101DA"/>
    <w:rsid w:val="00310394"/>
    <w:rsid w:val="00310759"/>
    <w:rsid w:val="00310CA8"/>
    <w:rsid w:val="00312996"/>
    <w:rsid w:val="00312E2B"/>
    <w:rsid w:val="00312F8B"/>
    <w:rsid w:val="00314308"/>
    <w:rsid w:val="003149B1"/>
    <w:rsid w:val="00315142"/>
    <w:rsid w:val="003167BA"/>
    <w:rsid w:val="0031699D"/>
    <w:rsid w:val="00316C0E"/>
    <w:rsid w:val="00317739"/>
    <w:rsid w:val="00320B9C"/>
    <w:rsid w:val="0032127F"/>
    <w:rsid w:val="00321469"/>
    <w:rsid w:val="003234BF"/>
    <w:rsid w:val="00323739"/>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2F12"/>
    <w:rsid w:val="003436AD"/>
    <w:rsid w:val="003453D0"/>
    <w:rsid w:val="00345597"/>
    <w:rsid w:val="00346B84"/>
    <w:rsid w:val="00346EDC"/>
    <w:rsid w:val="003474B9"/>
    <w:rsid w:val="0034773B"/>
    <w:rsid w:val="00347D49"/>
    <w:rsid w:val="0035018E"/>
    <w:rsid w:val="00350210"/>
    <w:rsid w:val="0035049F"/>
    <w:rsid w:val="00350E67"/>
    <w:rsid w:val="00352070"/>
    <w:rsid w:val="0035266E"/>
    <w:rsid w:val="00353A91"/>
    <w:rsid w:val="00353BC5"/>
    <w:rsid w:val="00353DAD"/>
    <w:rsid w:val="00355407"/>
    <w:rsid w:val="0035581B"/>
    <w:rsid w:val="00357237"/>
    <w:rsid w:val="00357CC0"/>
    <w:rsid w:val="00360338"/>
    <w:rsid w:val="003613CC"/>
    <w:rsid w:val="00363CD4"/>
    <w:rsid w:val="00364FE7"/>
    <w:rsid w:val="00365020"/>
    <w:rsid w:val="00367175"/>
    <w:rsid w:val="003679CB"/>
    <w:rsid w:val="0037146C"/>
    <w:rsid w:val="0037165D"/>
    <w:rsid w:val="00371892"/>
    <w:rsid w:val="00372001"/>
    <w:rsid w:val="00372196"/>
    <w:rsid w:val="003721B6"/>
    <w:rsid w:val="00372F93"/>
    <w:rsid w:val="00373BBB"/>
    <w:rsid w:val="00373D3B"/>
    <w:rsid w:val="00374FE6"/>
    <w:rsid w:val="00375655"/>
    <w:rsid w:val="00375C86"/>
    <w:rsid w:val="00376A8E"/>
    <w:rsid w:val="003779DB"/>
    <w:rsid w:val="003826A9"/>
    <w:rsid w:val="0038271F"/>
    <w:rsid w:val="00382A68"/>
    <w:rsid w:val="00382CF8"/>
    <w:rsid w:val="00382FE7"/>
    <w:rsid w:val="00383B79"/>
    <w:rsid w:val="00383BD7"/>
    <w:rsid w:val="00383F27"/>
    <w:rsid w:val="003851C3"/>
    <w:rsid w:val="003861EF"/>
    <w:rsid w:val="00386BEF"/>
    <w:rsid w:val="003873D8"/>
    <w:rsid w:val="003877F2"/>
    <w:rsid w:val="00387818"/>
    <w:rsid w:val="00390875"/>
    <w:rsid w:val="0039089B"/>
    <w:rsid w:val="003912BE"/>
    <w:rsid w:val="00391621"/>
    <w:rsid w:val="0039174C"/>
    <w:rsid w:val="003923C6"/>
    <w:rsid w:val="00392414"/>
    <w:rsid w:val="0039285A"/>
    <w:rsid w:val="00392EA3"/>
    <w:rsid w:val="0039311A"/>
    <w:rsid w:val="00394565"/>
    <w:rsid w:val="00394F47"/>
    <w:rsid w:val="00395FDB"/>
    <w:rsid w:val="003962DC"/>
    <w:rsid w:val="00396670"/>
    <w:rsid w:val="00396B51"/>
    <w:rsid w:val="00396C3B"/>
    <w:rsid w:val="00397946"/>
    <w:rsid w:val="00397FEE"/>
    <w:rsid w:val="00397FEF"/>
    <w:rsid w:val="003A14F1"/>
    <w:rsid w:val="003A1F32"/>
    <w:rsid w:val="003A2478"/>
    <w:rsid w:val="003A2519"/>
    <w:rsid w:val="003A2627"/>
    <w:rsid w:val="003A2CC5"/>
    <w:rsid w:val="003A3951"/>
    <w:rsid w:val="003A434A"/>
    <w:rsid w:val="003A4DC6"/>
    <w:rsid w:val="003A5001"/>
    <w:rsid w:val="003A582E"/>
    <w:rsid w:val="003A5AD9"/>
    <w:rsid w:val="003A6045"/>
    <w:rsid w:val="003A61BC"/>
    <w:rsid w:val="003A639A"/>
    <w:rsid w:val="003A6785"/>
    <w:rsid w:val="003A6938"/>
    <w:rsid w:val="003A6AA6"/>
    <w:rsid w:val="003B0717"/>
    <w:rsid w:val="003B074A"/>
    <w:rsid w:val="003B258E"/>
    <w:rsid w:val="003B31AD"/>
    <w:rsid w:val="003B35E9"/>
    <w:rsid w:val="003B3FEC"/>
    <w:rsid w:val="003B44A4"/>
    <w:rsid w:val="003B4E57"/>
    <w:rsid w:val="003B5899"/>
    <w:rsid w:val="003B626D"/>
    <w:rsid w:val="003B6A48"/>
    <w:rsid w:val="003B72E5"/>
    <w:rsid w:val="003C03BC"/>
    <w:rsid w:val="003C0AE6"/>
    <w:rsid w:val="003C0D89"/>
    <w:rsid w:val="003C148B"/>
    <w:rsid w:val="003C3D74"/>
    <w:rsid w:val="003C4320"/>
    <w:rsid w:val="003C46A2"/>
    <w:rsid w:val="003C5313"/>
    <w:rsid w:val="003C5611"/>
    <w:rsid w:val="003C59B5"/>
    <w:rsid w:val="003C5A0F"/>
    <w:rsid w:val="003C6FD2"/>
    <w:rsid w:val="003C7414"/>
    <w:rsid w:val="003C7808"/>
    <w:rsid w:val="003D0EB4"/>
    <w:rsid w:val="003D204B"/>
    <w:rsid w:val="003D23A3"/>
    <w:rsid w:val="003D25C9"/>
    <w:rsid w:val="003D3561"/>
    <w:rsid w:val="003D3608"/>
    <w:rsid w:val="003D402D"/>
    <w:rsid w:val="003D47DA"/>
    <w:rsid w:val="003D63C2"/>
    <w:rsid w:val="003D65C5"/>
    <w:rsid w:val="003D6912"/>
    <w:rsid w:val="003D6AFC"/>
    <w:rsid w:val="003D6BE5"/>
    <w:rsid w:val="003E05BB"/>
    <w:rsid w:val="003E1731"/>
    <w:rsid w:val="003E1813"/>
    <w:rsid w:val="003E21C4"/>
    <w:rsid w:val="003E2368"/>
    <w:rsid w:val="003E2750"/>
    <w:rsid w:val="003E2D72"/>
    <w:rsid w:val="003E357C"/>
    <w:rsid w:val="003E38D8"/>
    <w:rsid w:val="003E3997"/>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B14"/>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5E0D"/>
    <w:rsid w:val="00406A87"/>
    <w:rsid w:val="0040769C"/>
    <w:rsid w:val="00407B6E"/>
    <w:rsid w:val="00407F28"/>
    <w:rsid w:val="00410013"/>
    <w:rsid w:val="00410047"/>
    <w:rsid w:val="00410474"/>
    <w:rsid w:val="00410A40"/>
    <w:rsid w:val="00411624"/>
    <w:rsid w:val="00411CFF"/>
    <w:rsid w:val="004123B9"/>
    <w:rsid w:val="00413092"/>
    <w:rsid w:val="00413E36"/>
    <w:rsid w:val="004144DE"/>
    <w:rsid w:val="00414B30"/>
    <w:rsid w:val="00414E7B"/>
    <w:rsid w:val="00414FB7"/>
    <w:rsid w:val="00415840"/>
    <w:rsid w:val="00416206"/>
    <w:rsid w:val="00417017"/>
    <w:rsid w:val="004170EB"/>
    <w:rsid w:val="00417199"/>
    <w:rsid w:val="00417837"/>
    <w:rsid w:val="004205B2"/>
    <w:rsid w:val="00420607"/>
    <w:rsid w:val="0042074D"/>
    <w:rsid w:val="00420D64"/>
    <w:rsid w:val="0042157D"/>
    <w:rsid w:val="004229B9"/>
    <w:rsid w:val="00422D47"/>
    <w:rsid w:val="0042377A"/>
    <w:rsid w:val="00423AB1"/>
    <w:rsid w:val="00423BEB"/>
    <w:rsid w:val="00423D70"/>
    <w:rsid w:val="00424D40"/>
    <w:rsid w:val="00425255"/>
    <w:rsid w:val="0042615F"/>
    <w:rsid w:val="00426582"/>
    <w:rsid w:val="004267E5"/>
    <w:rsid w:val="00432489"/>
    <w:rsid w:val="004344EA"/>
    <w:rsid w:val="00434681"/>
    <w:rsid w:val="004353B8"/>
    <w:rsid w:val="004356AA"/>
    <w:rsid w:val="00436F5E"/>
    <w:rsid w:val="004403A8"/>
    <w:rsid w:val="00440CC8"/>
    <w:rsid w:val="0044228A"/>
    <w:rsid w:val="004428CC"/>
    <w:rsid w:val="00442D58"/>
    <w:rsid w:val="00443E7F"/>
    <w:rsid w:val="0044409E"/>
    <w:rsid w:val="0044553D"/>
    <w:rsid w:val="004456CA"/>
    <w:rsid w:val="00445B7E"/>
    <w:rsid w:val="00446254"/>
    <w:rsid w:val="00446AB4"/>
    <w:rsid w:val="00447B32"/>
    <w:rsid w:val="00450D78"/>
    <w:rsid w:val="00451069"/>
    <w:rsid w:val="004526E2"/>
    <w:rsid w:val="004529C3"/>
    <w:rsid w:val="004529C6"/>
    <w:rsid w:val="00454E6C"/>
    <w:rsid w:val="0045557E"/>
    <w:rsid w:val="00455C70"/>
    <w:rsid w:val="00456EB0"/>
    <w:rsid w:val="00457521"/>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2F55"/>
    <w:rsid w:val="00473111"/>
    <w:rsid w:val="00473124"/>
    <w:rsid w:val="004738F6"/>
    <w:rsid w:val="0047437F"/>
    <w:rsid w:val="0047465C"/>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614"/>
    <w:rsid w:val="00492B85"/>
    <w:rsid w:val="0049392B"/>
    <w:rsid w:val="004948B1"/>
    <w:rsid w:val="004956BE"/>
    <w:rsid w:val="004959B4"/>
    <w:rsid w:val="004961EC"/>
    <w:rsid w:val="004975A5"/>
    <w:rsid w:val="00497C2C"/>
    <w:rsid w:val="004A095B"/>
    <w:rsid w:val="004A26DC"/>
    <w:rsid w:val="004A3C33"/>
    <w:rsid w:val="004A4CFB"/>
    <w:rsid w:val="004A5045"/>
    <w:rsid w:val="004A5887"/>
    <w:rsid w:val="004A6317"/>
    <w:rsid w:val="004A688C"/>
    <w:rsid w:val="004A715C"/>
    <w:rsid w:val="004A735C"/>
    <w:rsid w:val="004A748D"/>
    <w:rsid w:val="004A75EC"/>
    <w:rsid w:val="004A7ACC"/>
    <w:rsid w:val="004B0407"/>
    <w:rsid w:val="004B0B27"/>
    <w:rsid w:val="004B175E"/>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4996"/>
    <w:rsid w:val="004C596C"/>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50F"/>
    <w:rsid w:val="004D566E"/>
    <w:rsid w:val="004D5FC9"/>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8C1"/>
    <w:rsid w:val="004E59D7"/>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500A"/>
    <w:rsid w:val="00505EEF"/>
    <w:rsid w:val="00506660"/>
    <w:rsid w:val="00507C06"/>
    <w:rsid w:val="005105DB"/>
    <w:rsid w:val="00510DB0"/>
    <w:rsid w:val="00510FCF"/>
    <w:rsid w:val="00511094"/>
    <w:rsid w:val="00511B99"/>
    <w:rsid w:val="00515386"/>
    <w:rsid w:val="00517720"/>
    <w:rsid w:val="00517841"/>
    <w:rsid w:val="00517ED0"/>
    <w:rsid w:val="005201A7"/>
    <w:rsid w:val="005203FD"/>
    <w:rsid w:val="005206C1"/>
    <w:rsid w:val="005225BB"/>
    <w:rsid w:val="00522DE3"/>
    <w:rsid w:val="005235C5"/>
    <w:rsid w:val="00524265"/>
    <w:rsid w:val="005249CD"/>
    <w:rsid w:val="00524B9F"/>
    <w:rsid w:val="0052708A"/>
    <w:rsid w:val="00527FA1"/>
    <w:rsid w:val="005301C1"/>
    <w:rsid w:val="00531A5A"/>
    <w:rsid w:val="00531D15"/>
    <w:rsid w:val="00532A2E"/>
    <w:rsid w:val="00532D05"/>
    <w:rsid w:val="00532EBB"/>
    <w:rsid w:val="00533380"/>
    <w:rsid w:val="00533D95"/>
    <w:rsid w:val="00535BBC"/>
    <w:rsid w:val="00536657"/>
    <w:rsid w:val="005371DB"/>
    <w:rsid w:val="00537367"/>
    <w:rsid w:val="005376E7"/>
    <w:rsid w:val="00537C0C"/>
    <w:rsid w:val="00540552"/>
    <w:rsid w:val="0054095E"/>
    <w:rsid w:val="00540FFF"/>
    <w:rsid w:val="00541803"/>
    <w:rsid w:val="00541D87"/>
    <w:rsid w:val="00542414"/>
    <w:rsid w:val="005424E1"/>
    <w:rsid w:val="005438E7"/>
    <w:rsid w:val="00543BE7"/>
    <w:rsid w:val="00544387"/>
    <w:rsid w:val="005444EE"/>
    <w:rsid w:val="00544639"/>
    <w:rsid w:val="00545CD6"/>
    <w:rsid w:val="00547E29"/>
    <w:rsid w:val="00547FE3"/>
    <w:rsid w:val="00550440"/>
    <w:rsid w:val="005515A1"/>
    <w:rsid w:val="00551C51"/>
    <w:rsid w:val="00551DEA"/>
    <w:rsid w:val="00553751"/>
    <w:rsid w:val="005539C5"/>
    <w:rsid w:val="00553C1E"/>
    <w:rsid w:val="00556793"/>
    <w:rsid w:val="00556869"/>
    <w:rsid w:val="0055689C"/>
    <w:rsid w:val="00556A50"/>
    <w:rsid w:val="00557277"/>
    <w:rsid w:val="00557297"/>
    <w:rsid w:val="00560B9A"/>
    <w:rsid w:val="005612D7"/>
    <w:rsid w:val="00561367"/>
    <w:rsid w:val="0056260D"/>
    <w:rsid w:val="0056316F"/>
    <w:rsid w:val="00563356"/>
    <w:rsid w:val="005647EC"/>
    <w:rsid w:val="00565228"/>
    <w:rsid w:val="00565E44"/>
    <w:rsid w:val="00566030"/>
    <w:rsid w:val="00566366"/>
    <w:rsid w:val="005666C1"/>
    <w:rsid w:val="00566908"/>
    <w:rsid w:val="005706F1"/>
    <w:rsid w:val="00570889"/>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254F"/>
    <w:rsid w:val="00584EB3"/>
    <w:rsid w:val="00585066"/>
    <w:rsid w:val="0058513B"/>
    <w:rsid w:val="00585AAA"/>
    <w:rsid w:val="00585D87"/>
    <w:rsid w:val="00585F4D"/>
    <w:rsid w:val="00586358"/>
    <w:rsid w:val="005866A4"/>
    <w:rsid w:val="00586AF9"/>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4C99"/>
    <w:rsid w:val="00597E7D"/>
    <w:rsid w:val="00597E9D"/>
    <w:rsid w:val="005A0A6A"/>
    <w:rsid w:val="005A0CEE"/>
    <w:rsid w:val="005A0DD7"/>
    <w:rsid w:val="005A118C"/>
    <w:rsid w:val="005A11C8"/>
    <w:rsid w:val="005A16E7"/>
    <w:rsid w:val="005A182E"/>
    <w:rsid w:val="005A1AC6"/>
    <w:rsid w:val="005A1BCC"/>
    <w:rsid w:val="005A4246"/>
    <w:rsid w:val="005A50E0"/>
    <w:rsid w:val="005A59DA"/>
    <w:rsid w:val="005A70C5"/>
    <w:rsid w:val="005A7E15"/>
    <w:rsid w:val="005B04F9"/>
    <w:rsid w:val="005B054E"/>
    <w:rsid w:val="005B0DF9"/>
    <w:rsid w:val="005B1CD9"/>
    <w:rsid w:val="005B244E"/>
    <w:rsid w:val="005B27E6"/>
    <w:rsid w:val="005B2950"/>
    <w:rsid w:val="005B3C65"/>
    <w:rsid w:val="005B3CB3"/>
    <w:rsid w:val="005B4066"/>
    <w:rsid w:val="005B49EC"/>
    <w:rsid w:val="005B582A"/>
    <w:rsid w:val="005B6CB2"/>
    <w:rsid w:val="005B7593"/>
    <w:rsid w:val="005C04CC"/>
    <w:rsid w:val="005C0F8F"/>
    <w:rsid w:val="005C259A"/>
    <w:rsid w:val="005C2C33"/>
    <w:rsid w:val="005C41B0"/>
    <w:rsid w:val="005D2386"/>
    <w:rsid w:val="005D37D0"/>
    <w:rsid w:val="005D4F61"/>
    <w:rsid w:val="005D50FC"/>
    <w:rsid w:val="005D653F"/>
    <w:rsid w:val="005D6EC8"/>
    <w:rsid w:val="005D7D97"/>
    <w:rsid w:val="005E2994"/>
    <w:rsid w:val="005E29D3"/>
    <w:rsid w:val="005E2D8A"/>
    <w:rsid w:val="005E3C88"/>
    <w:rsid w:val="005E405E"/>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07"/>
    <w:rsid w:val="006000C8"/>
    <w:rsid w:val="006006FB"/>
    <w:rsid w:val="00601BCA"/>
    <w:rsid w:val="0060245F"/>
    <w:rsid w:val="0060357A"/>
    <w:rsid w:val="0060408A"/>
    <w:rsid w:val="0060468A"/>
    <w:rsid w:val="00604D69"/>
    <w:rsid w:val="0060511D"/>
    <w:rsid w:val="006053AD"/>
    <w:rsid w:val="00606075"/>
    <w:rsid w:val="00610200"/>
    <w:rsid w:val="00610837"/>
    <w:rsid w:val="00611390"/>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750"/>
    <w:rsid w:val="00631826"/>
    <w:rsid w:val="0063209B"/>
    <w:rsid w:val="00633770"/>
    <w:rsid w:val="006339C3"/>
    <w:rsid w:val="00633C15"/>
    <w:rsid w:val="006341A0"/>
    <w:rsid w:val="006343C3"/>
    <w:rsid w:val="00634779"/>
    <w:rsid w:val="00634B88"/>
    <w:rsid w:val="006352FA"/>
    <w:rsid w:val="00636D0D"/>
    <w:rsid w:val="006373F4"/>
    <w:rsid w:val="006406CA"/>
    <w:rsid w:val="00642509"/>
    <w:rsid w:val="00642BB7"/>
    <w:rsid w:val="006436ED"/>
    <w:rsid w:val="00644F83"/>
    <w:rsid w:val="00645E0E"/>
    <w:rsid w:val="00647EC6"/>
    <w:rsid w:val="006503E6"/>
    <w:rsid w:val="006511E8"/>
    <w:rsid w:val="00651D16"/>
    <w:rsid w:val="006536D9"/>
    <w:rsid w:val="00653FF1"/>
    <w:rsid w:val="006542ED"/>
    <w:rsid w:val="00654A9F"/>
    <w:rsid w:val="00655031"/>
    <w:rsid w:val="006567E6"/>
    <w:rsid w:val="0065765C"/>
    <w:rsid w:val="00660419"/>
    <w:rsid w:val="00660C35"/>
    <w:rsid w:val="00661197"/>
    <w:rsid w:val="006618EE"/>
    <w:rsid w:val="00663BE1"/>
    <w:rsid w:val="006641AD"/>
    <w:rsid w:val="006647AE"/>
    <w:rsid w:val="00664CFC"/>
    <w:rsid w:val="00664EF4"/>
    <w:rsid w:val="006659F1"/>
    <w:rsid w:val="00665B56"/>
    <w:rsid w:val="00665DFF"/>
    <w:rsid w:val="0066616A"/>
    <w:rsid w:val="00666DD9"/>
    <w:rsid w:val="00671E0B"/>
    <w:rsid w:val="006727D1"/>
    <w:rsid w:val="00673AAC"/>
    <w:rsid w:val="00675C23"/>
    <w:rsid w:val="00675E96"/>
    <w:rsid w:val="006777FA"/>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4291"/>
    <w:rsid w:val="00694E88"/>
    <w:rsid w:val="00695758"/>
    <w:rsid w:val="006957BB"/>
    <w:rsid w:val="006958C0"/>
    <w:rsid w:val="00696334"/>
    <w:rsid w:val="00696DCC"/>
    <w:rsid w:val="00697C5D"/>
    <w:rsid w:val="00697D7B"/>
    <w:rsid w:val="006A23B7"/>
    <w:rsid w:val="006A251B"/>
    <w:rsid w:val="006A308C"/>
    <w:rsid w:val="006A359A"/>
    <w:rsid w:val="006A3E11"/>
    <w:rsid w:val="006A4026"/>
    <w:rsid w:val="006A4F06"/>
    <w:rsid w:val="006A51F7"/>
    <w:rsid w:val="006A55DF"/>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710C"/>
    <w:rsid w:val="006B7384"/>
    <w:rsid w:val="006B7AAB"/>
    <w:rsid w:val="006C2080"/>
    <w:rsid w:val="006C235B"/>
    <w:rsid w:val="006C23EF"/>
    <w:rsid w:val="006C2C35"/>
    <w:rsid w:val="006C2C6E"/>
    <w:rsid w:val="006C2FA6"/>
    <w:rsid w:val="006C4C73"/>
    <w:rsid w:val="006C4E38"/>
    <w:rsid w:val="006C5928"/>
    <w:rsid w:val="006C5CDD"/>
    <w:rsid w:val="006C6AC7"/>
    <w:rsid w:val="006C79CB"/>
    <w:rsid w:val="006C7C2C"/>
    <w:rsid w:val="006D0D28"/>
    <w:rsid w:val="006D0F1D"/>
    <w:rsid w:val="006D149C"/>
    <w:rsid w:val="006D285C"/>
    <w:rsid w:val="006D3177"/>
    <w:rsid w:val="006D32E9"/>
    <w:rsid w:val="006D3D91"/>
    <w:rsid w:val="006D3ED3"/>
    <w:rsid w:val="006D3F75"/>
    <w:rsid w:val="006D53F7"/>
    <w:rsid w:val="006D59AC"/>
    <w:rsid w:val="006D638B"/>
    <w:rsid w:val="006D6926"/>
    <w:rsid w:val="006D6F9D"/>
    <w:rsid w:val="006D7469"/>
    <w:rsid w:val="006D7553"/>
    <w:rsid w:val="006E04F0"/>
    <w:rsid w:val="006E1EC5"/>
    <w:rsid w:val="006E2B29"/>
    <w:rsid w:val="006E2B85"/>
    <w:rsid w:val="006E3C01"/>
    <w:rsid w:val="006E40D7"/>
    <w:rsid w:val="006E4298"/>
    <w:rsid w:val="006E472A"/>
    <w:rsid w:val="006E4926"/>
    <w:rsid w:val="006E4EB1"/>
    <w:rsid w:val="006E558E"/>
    <w:rsid w:val="006E5C9D"/>
    <w:rsid w:val="006E66D6"/>
    <w:rsid w:val="006E6CD6"/>
    <w:rsid w:val="006E6E20"/>
    <w:rsid w:val="006E7553"/>
    <w:rsid w:val="006E7D0F"/>
    <w:rsid w:val="006F07DA"/>
    <w:rsid w:val="006F0EA7"/>
    <w:rsid w:val="006F117C"/>
    <w:rsid w:val="006F209C"/>
    <w:rsid w:val="006F264A"/>
    <w:rsid w:val="006F4E0B"/>
    <w:rsid w:val="006F554F"/>
    <w:rsid w:val="006F5BAD"/>
    <w:rsid w:val="006F6057"/>
    <w:rsid w:val="006F6908"/>
    <w:rsid w:val="006F71C3"/>
    <w:rsid w:val="006F7A85"/>
    <w:rsid w:val="006F7E26"/>
    <w:rsid w:val="00700BAD"/>
    <w:rsid w:val="00700C89"/>
    <w:rsid w:val="00703C18"/>
    <w:rsid w:val="00704B59"/>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1839"/>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AD3"/>
    <w:rsid w:val="00746FA8"/>
    <w:rsid w:val="0074733C"/>
    <w:rsid w:val="00750234"/>
    <w:rsid w:val="007504FA"/>
    <w:rsid w:val="007505E9"/>
    <w:rsid w:val="00750DD0"/>
    <w:rsid w:val="0075111B"/>
    <w:rsid w:val="00751BCE"/>
    <w:rsid w:val="00753F92"/>
    <w:rsid w:val="00754FEC"/>
    <w:rsid w:val="0075564C"/>
    <w:rsid w:val="0075701A"/>
    <w:rsid w:val="00757550"/>
    <w:rsid w:val="0075759A"/>
    <w:rsid w:val="00757AB7"/>
    <w:rsid w:val="0076069A"/>
    <w:rsid w:val="00761442"/>
    <w:rsid w:val="00761C9A"/>
    <w:rsid w:val="00762773"/>
    <w:rsid w:val="007637C2"/>
    <w:rsid w:val="007638D4"/>
    <w:rsid w:val="007639CD"/>
    <w:rsid w:val="00764121"/>
    <w:rsid w:val="007642B5"/>
    <w:rsid w:val="00765864"/>
    <w:rsid w:val="0076599A"/>
    <w:rsid w:val="00765F15"/>
    <w:rsid w:val="0076686E"/>
    <w:rsid w:val="00766C8B"/>
    <w:rsid w:val="00767857"/>
    <w:rsid w:val="00770DF3"/>
    <w:rsid w:val="0077102F"/>
    <w:rsid w:val="00771035"/>
    <w:rsid w:val="0077128D"/>
    <w:rsid w:val="00771589"/>
    <w:rsid w:val="00771606"/>
    <w:rsid w:val="00771B8A"/>
    <w:rsid w:val="00772670"/>
    <w:rsid w:val="00772EA9"/>
    <w:rsid w:val="007747C1"/>
    <w:rsid w:val="0077570C"/>
    <w:rsid w:val="007759C0"/>
    <w:rsid w:val="00775EC6"/>
    <w:rsid w:val="00776416"/>
    <w:rsid w:val="007809C0"/>
    <w:rsid w:val="00781669"/>
    <w:rsid w:val="00781A6B"/>
    <w:rsid w:val="00781ED7"/>
    <w:rsid w:val="00782415"/>
    <w:rsid w:val="0078259F"/>
    <w:rsid w:val="00782D8A"/>
    <w:rsid w:val="00783B5F"/>
    <w:rsid w:val="00783D25"/>
    <w:rsid w:val="00783F6B"/>
    <w:rsid w:val="0078429E"/>
    <w:rsid w:val="007869D4"/>
    <w:rsid w:val="00787482"/>
    <w:rsid w:val="00787612"/>
    <w:rsid w:val="00787D20"/>
    <w:rsid w:val="00791065"/>
    <w:rsid w:val="00791684"/>
    <w:rsid w:val="00793067"/>
    <w:rsid w:val="0079323E"/>
    <w:rsid w:val="00793CC9"/>
    <w:rsid w:val="00794AE6"/>
    <w:rsid w:val="00794F9A"/>
    <w:rsid w:val="00796820"/>
    <w:rsid w:val="00796C6A"/>
    <w:rsid w:val="0079739A"/>
    <w:rsid w:val="007A2110"/>
    <w:rsid w:val="007A27CD"/>
    <w:rsid w:val="007A3A3A"/>
    <w:rsid w:val="007A44F5"/>
    <w:rsid w:val="007A4C2D"/>
    <w:rsid w:val="007A52DC"/>
    <w:rsid w:val="007A54AE"/>
    <w:rsid w:val="007A5897"/>
    <w:rsid w:val="007A591A"/>
    <w:rsid w:val="007A5CC0"/>
    <w:rsid w:val="007A5D4E"/>
    <w:rsid w:val="007A6D67"/>
    <w:rsid w:val="007A7404"/>
    <w:rsid w:val="007B06E0"/>
    <w:rsid w:val="007B0DDC"/>
    <w:rsid w:val="007B1515"/>
    <w:rsid w:val="007B1595"/>
    <w:rsid w:val="007B1882"/>
    <w:rsid w:val="007B3191"/>
    <w:rsid w:val="007B3EFB"/>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269"/>
    <w:rsid w:val="007D13C8"/>
    <w:rsid w:val="007D23CE"/>
    <w:rsid w:val="007D30BA"/>
    <w:rsid w:val="007D367D"/>
    <w:rsid w:val="007D631C"/>
    <w:rsid w:val="007D73E8"/>
    <w:rsid w:val="007E0242"/>
    <w:rsid w:val="007E08E5"/>
    <w:rsid w:val="007E0E6D"/>
    <w:rsid w:val="007E1828"/>
    <w:rsid w:val="007E21E4"/>
    <w:rsid w:val="007E2732"/>
    <w:rsid w:val="007E2CD2"/>
    <w:rsid w:val="007E312D"/>
    <w:rsid w:val="007E38BB"/>
    <w:rsid w:val="007E3FBB"/>
    <w:rsid w:val="007E554A"/>
    <w:rsid w:val="007E6FCE"/>
    <w:rsid w:val="007E7BD1"/>
    <w:rsid w:val="007F001D"/>
    <w:rsid w:val="007F0549"/>
    <w:rsid w:val="007F1D4E"/>
    <w:rsid w:val="007F2670"/>
    <w:rsid w:val="007F3396"/>
    <w:rsid w:val="007F3A74"/>
    <w:rsid w:val="007F4001"/>
    <w:rsid w:val="007F4D7A"/>
    <w:rsid w:val="007F585B"/>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7A6"/>
    <w:rsid w:val="00813926"/>
    <w:rsid w:val="00813E8F"/>
    <w:rsid w:val="0081482E"/>
    <w:rsid w:val="0081509C"/>
    <w:rsid w:val="00817418"/>
    <w:rsid w:val="00817EE5"/>
    <w:rsid w:val="00820E0B"/>
    <w:rsid w:val="008217BD"/>
    <w:rsid w:val="0082197C"/>
    <w:rsid w:val="00822576"/>
    <w:rsid w:val="00822893"/>
    <w:rsid w:val="008242E0"/>
    <w:rsid w:val="00825ACE"/>
    <w:rsid w:val="00825D28"/>
    <w:rsid w:val="008265EE"/>
    <w:rsid w:val="00826602"/>
    <w:rsid w:val="00826776"/>
    <w:rsid w:val="008268E7"/>
    <w:rsid w:val="00826C5C"/>
    <w:rsid w:val="00827BFC"/>
    <w:rsid w:val="00830107"/>
    <w:rsid w:val="00833697"/>
    <w:rsid w:val="008337C6"/>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1CCB"/>
    <w:rsid w:val="0085249D"/>
    <w:rsid w:val="008525A1"/>
    <w:rsid w:val="0085328E"/>
    <w:rsid w:val="008534BB"/>
    <w:rsid w:val="00853CFD"/>
    <w:rsid w:val="00854646"/>
    <w:rsid w:val="0085490B"/>
    <w:rsid w:val="0085498E"/>
    <w:rsid w:val="008556C3"/>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187"/>
    <w:rsid w:val="00866B39"/>
    <w:rsid w:val="00866CFE"/>
    <w:rsid w:val="00867AE1"/>
    <w:rsid w:val="008702DF"/>
    <w:rsid w:val="00870339"/>
    <w:rsid w:val="008703B2"/>
    <w:rsid w:val="0087265A"/>
    <w:rsid w:val="00874ADE"/>
    <w:rsid w:val="00876FDB"/>
    <w:rsid w:val="008773AC"/>
    <w:rsid w:val="00880F78"/>
    <w:rsid w:val="00881416"/>
    <w:rsid w:val="0088183A"/>
    <w:rsid w:val="00881AE3"/>
    <w:rsid w:val="00881F80"/>
    <w:rsid w:val="0088243C"/>
    <w:rsid w:val="0088328C"/>
    <w:rsid w:val="00883664"/>
    <w:rsid w:val="0088394E"/>
    <w:rsid w:val="00883E1B"/>
    <w:rsid w:val="00884FE5"/>
    <w:rsid w:val="00885975"/>
    <w:rsid w:val="00885D82"/>
    <w:rsid w:val="00886F76"/>
    <w:rsid w:val="00887656"/>
    <w:rsid w:val="00887EA8"/>
    <w:rsid w:val="00891C3F"/>
    <w:rsid w:val="00891DB9"/>
    <w:rsid w:val="00892106"/>
    <w:rsid w:val="00893A69"/>
    <w:rsid w:val="008941EB"/>
    <w:rsid w:val="00894A64"/>
    <w:rsid w:val="00894D9D"/>
    <w:rsid w:val="00894F09"/>
    <w:rsid w:val="00894FDA"/>
    <w:rsid w:val="008A0772"/>
    <w:rsid w:val="008A15D4"/>
    <w:rsid w:val="008A1B50"/>
    <w:rsid w:val="008A2398"/>
    <w:rsid w:val="008A35D0"/>
    <w:rsid w:val="008A3BED"/>
    <w:rsid w:val="008A3D40"/>
    <w:rsid w:val="008A3EF3"/>
    <w:rsid w:val="008A40BE"/>
    <w:rsid w:val="008A5592"/>
    <w:rsid w:val="008A5A97"/>
    <w:rsid w:val="008A663D"/>
    <w:rsid w:val="008A6979"/>
    <w:rsid w:val="008A6DA8"/>
    <w:rsid w:val="008A6E22"/>
    <w:rsid w:val="008A6E41"/>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80"/>
    <w:rsid w:val="008C5A94"/>
    <w:rsid w:val="008C6930"/>
    <w:rsid w:val="008C69A9"/>
    <w:rsid w:val="008C7BCF"/>
    <w:rsid w:val="008C7D2F"/>
    <w:rsid w:val="008D0E80"/>
    <w:rsid w:val="008D0F9C"/>
    <w:rsid w:val="008D14C6"/>
    <w:rsid w:val="008D229A"/>
    <w:rsid w:val="008D2540"/>
    <w:rsid w:val="008D35E7"/>
    <w:rsid w:val="008D3990"/>
    <w:rsid w:val="008D4A63"/>
    <w:rsid w:val="008D653C"/>
    <w:rsid w:val="008D7117"/>
    <w:rsid w:val="008D788C"/>
    <w:rsid w:val="008E0A9E"/>
    <w:rsid w:val="008E1528"/>
    <w:rsid w:val="008E19FA"/>
    <w:rsid w:val="008E1C8A"/>
    <w:rsid w:val="008E34B7"/>
    <w:rsid w:val="008E4958"/>
    <w:rsid w:val="008E4B0E"/>
    <w:rsid w:val="008E4B55"/>
    <w:rsid w:val="008E62CB"/>
    <w:rsid w:val="008E6327"/>
    <w:rsid w:val="008E6565"/>
    <w:rsid w:val="008E68A3"/>
    <w:rsid w:val="008E68A6"/>
    <w:rsid w:val="008E78E5"/>
    <w:rsid w:val="008E7D01"/>
    <w:rsid w:val="008F0621"/>
    <w:rsid w:val="008F0B68"/>
    <w:rsid w:val="008F1227"/>
    <w:rsid w:val="008F2B0C"/>
    <w:rsid w:val="008F440C"/>
    <w:rsid w:val="008F4450"/>
    <w:rsid w:val="008F4979"/>
    <w:rsid w:val="008F551E"/>
    <w:rsid w:val="008F72E1"/>
    <w:rsid w:val="008F770F"/>
    <w:rsid w:val="008F7E04"/>
    <w:rsid w:val="00900720"/>
    <w:rsid w:val="00900965"/>
    <w:rsid w:val="00902766"/>
    <w:rsid w:val="0090283A"/>
    <w:rsid w:val="00902E11"/>
    <w:rsid w:val="00903199"/>
    <w:rsid w:val="00906911"/>
    <w:rsid w:val="00906D5B"/>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2507"/>
    <w:rsid w:val="00922BB6"/>
    <w:rsid w:val="009231BF"/>
    <w:rsid w:val="0092400C"/>
    <w:rsid w:val="009240EA"/>
    <w:rsid w:val="009242F6"/>
    <w:rsid w:val="009244A2"/>
    <w:rsid w:val="00924A34"/>
    <w:rsid w:val="00925D9E"/>
    <w:rsid w:val="00925DB9"/>
    <w:rsid w:val="009261A0"/>
    <w:rsid w:val="00927C8E"/>
    <w:rsid w:val="00930AD5"/>
    <w:rsid w:val="00931A6C"/>
    <w:rsid w:val="00931D26"/>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7F"/>
    <w:rsid w:val="0094668C"/>
    <w:rsid w:val="0094689E"/>
    <w:rsid w:val="0094764A"/>
    <w:rsid w:val="00947D66"/>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EC0"/>
    <w:rsid w:val="00960F19"/>
    <w:rsid w:val="00961B11"/>
    <w:rsid w:val="009622E1"/>
    <w:rsid w:val="009625FF"/>
    <w:rsid w:val="009628C0"/>
    <w:rsid w:val="00962B73"/>
    <w:rsid w:val="00965088"/>
    <w:rsid w:val="00965243"/>
    <w:rsid w:val="00965E5D"/>
    <w:rsid w:val="0096638A"/>
    <w:rsid w:val="00966715"/>
    <w:rsid w:val="0096744A"/>
    <w:rsid w:val="00967C62"/>
    <w:rsid w:val="0097016D"/>
    <w:rsid w:val="00971157"/>
    <w:rsid w:val="009715FA"/>
    <w:rsid w:val="00971EE2"/>
    <w:rsid w:val="00972182"/>
    <w:rsid w:val="00972601"/>
    <w:rsid w:val="00973973"/>
    <w:rsid w:val="00974175"/>
    <w:rsid w:val="00974276"/>
    <w:rsid w:val="00974974"/>
    <w:rsid w:val="0097515F"/>
    <w:rsid w:val="009753A3"/>
    <w:rsid w:val="00975E2F"/>
    <w:rsid w:val="009763C6"/>
    <w:rsid w:val="00977408"/>
    <w:rsid w:val="00977B4E"/>
    <w:rsid w:val="00977D29"/>
    <w:rsid w:val="00981A26"/>
    <w:rsid w:val="00983E53"/>
    <w:rsid w:val="009843EA"/>
    <w:rsid w:val="00984FD4"/>
    <w:rsid w:val="00985250"/>
    <w:rsid w:val="0098568B"/>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433"/>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44DB"/>
    <w:rsid w:val="009C6962"/>
    <w:rsid w:val="009C7A56"/>
    <w:rsid w:val="009D034D"/>
    <w:rsid w:val="009D093B"/>
    <w:rsid w:val="009D26F3"/>
    <w:rsid w:val="009D2CFF"/>
    <w:rsid w:val="009D30A1"/>
    <w:rsid w:val="009D3A4C"/>
    <w:rsid w:val="009D426C"/>
    <w:rsid w:val="009D4466"/>
    <w:rsid w:val="009D60A6"/>
    <w:rsid w:val="009D7153"/>
    <w:rsid w:val="009D786E"/>
    <w:rsid w:val="009D7B97"/>
    <w:rsid w:val="009E11FB"/>
    <w:rsid w:val="009E2341"/>
    <w:rsid w:val="009E24F7"/>
    <w:rsid w:val="009E25DF"/>
    <w:rsid w:val="009E28DC"/>
    <w:rsid w:val="009E2A5A"/>
    <w:rsid w:val="009E591E"/>
    <w:rsid w:val="009E6175"/>
    <w:rsid w:val="009E62A6"/>
    <w:rsid w:val="009E712D"/>
    <w:rsid w:val="009F0203"/>
    <w:rsid w:val="009F08DE"/>
    <w:rsid w:val="009F0B23"/>
    <w:rsid w:val="009F1BE6"/>
    <w:rsid w:val="009F2926"/>
    <w:rsid w:val="009F2E18"/>
    <w:rsid w:val="009F3AFF"/>
    <w:rsid w:val="009F59AB"/>
    <w:rsid w:val="009F6A4E"/>
    <w:rsid w:val="009F708B"/>
    <w:rsid w:val="009F7A4D"/>
    <w:rsid w:val="00A01D5A"/>
    <w:rsid w:val="00A022A1"/>
    <w:rsid w:val="00A02BBB"/>
    <w:rsid w:val="00A0315B"/>
    <w:rsid w:val="00A03B61"/>
    <w:rsid w:val="00A04941"/>
    <w:rsid w:val="00A0520B"/>
    <w:rsid w:val="00A05FF6"/>
    <w:rsid w:val="00A06043"/>
    <w:rsid w:val="00A06621"/>
    <w:rsid w:val="00A06A65"/>
    <w:rsid w:val="00A072F5"/>
    <w:rsid w:val="00A07343"/>
    <w:rsid w:val="00A079EA"/>
    <w:rsid w:val="00A10D0D"/>
    <w:rsid w:val="00A121BE"/>
    <w:rsid w:val="00A131D5"/>
    <w:rsid w:val="00A1345E"/>
    <w:rsid w:val="00A1352C"/>
    <w:rsid w:val="00A14A83"/>
    <w:rsid w:val="00A15607"/>
    <w:rsid w:val="00A15B87"/>
    <w:rsid w:val="00A15E98"/>
    <w:rsid w:val="00A16463"/>
    <w:rsid w:val="00A16474"/>
    <w:rsid w:val="00A16809"/>
    <w:rsid w:val="00A16F29"/>
    <w:rsid w:val="00A17CD1"/>
    <w:rsid w:val="00A17EF3"/>
    <w:rsid w:val="00A21053"/>
    <w:rsid w:val="00A21D0C"/>
    <w:rsid w:val="00A22786"/>
    <w:rsid w:val="00A22798"/>
    <w:rsid w:val="00A232A0"/>
    <w:rsid w:val="00A244E4"/>
    <w:rsid w:val="00A24DE3"/>
    <w:rsid w:val="00A25AC6"/>
    <w:rsid w:val="00A26247"/>
    <w:rsid w:val="00A26A74"/>
    <w:rsid w:val="00A30E85"/>
    <w:rsid w:val="00A31227"/>
    <w:rsid w:val="00A315D2"/>
    <w:rsid w:val="00A31E83"/>
    <w:rsid w:val="00A327F4"/>
    <w:rsid w:val="00A3291C"/>
    <w:rsid w:val="00A34C36"/>
    <w:rsid w:val="00A4233F"/>
    <w:rsid w:val="00A4251F"/>
    <w:rsid w:val="00A42658"/>
    <w:rsid w:val="00A42EF4"/>
    <w:rsid w:val="00A4397E"/>
    <w:rsid w:val="00A45105"/>
    <w:rsid w:val="00A4640B"/>
    <w:rsid w:val="00A4640E"/>
    <w:rsid w:val="00A476B0"/>
    <w:rsid w:val="00A50A57"/>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290"/>
    <w:rsid w:val="00A652CE"/>
    <w:rsid w:val="00A66C87"/>
    <w:rsid w:val="00A66DCD"/>
    <w:rsid w:val="00A67A48"/>
    <w:rsid w:val="00A701CE"/>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02B"/>
    <w:rsid w:val="00A91BE8"/>
    <w:rsid w:val="00A920A3"/>
    <w:rsid w:val="00A921A7"/>
    <w:rsid w:val="00A9262E"/>
    <w:rsid w:val="00A92788"/>
    <w:rsid w:val="00A93099"/>
    <w:rsid w:val="00A93372"/>
    <w:rsid w:val="00A936A0"/>
    <w:rsid w:val="00A939E5"/>
    <w:rsid w:val="00A94862"/>
    <w:rsid w:val="00A9510C"/>
    <w:rsid w:val="00A95430"/>
    <w:rsid w:val="00A96588"/>
    <w:rsid w:val="00A96D4C"/>
    <w:rsid w:val="00A9710E"/>
    <w:rsid w:val="00A97F03"/>
    <w:rsid w:val="00AA138C"/>
    <w:rsid w:val="00AA1667"/>
    <w:rsid w:val="00AA1842"/>
    <w:rsid w:val="00AA1BB3"/>
    <w:rsid w:val="00AA35A8"/>
    <w:rsid w:val="00AA421E"/>
    <w:rsid w:val="00AA42DD"/>
    <w:rsid w:val="00AA51D1"/>
    <w:rsid w:val="00AA59A3"/>
    <w:rsid w:val="00AB057B"/>
    <w:rsid w:val="00AB081A"/>
    <w:rsid w:val="00AB1146"/>
    <w:rsid w:val="00AB1E3D"/>
    <w:rsid w:val="00AB260D"/>
    <w:rsid w:val="00AB4976"/>
    <w:rsid w:val="00AB4D5A"/>
    <w:rsid w:val="00AB4F9C"/>
    <w:rsid w:val="00AB5019"/>
    <w:rsid w:val="00AB5A9F"/>
    <w:rsid w:val="00AB5B90"/>
    <w:rsid w:val="00AB6183"/>
    <w:rsid w:val="00AB69BC"/>
    <w:rsid w:val="00AB7DD6"/>
    <w:rsid w:val="00AC0232"/>
    <w:rsid w:val="00AC09F6"/>
    <w:rsid w:val="00AC1258"/>
    <w:rsid w:val="00AC15B0"/>
    <w:rsid w:val="00AC1988"/>
    <w:rsid w:val="00AC209C"/>
    <w:rsid w:val="00AC27ED"/>
    <w:rsid w:val="00AC2AF7"/>
    <w:rsid w:val="00AC2EDD"/>
    <w:rsid w:val="00AC3680"/>
    <w:rsid w:val="00AC3CDD"/>
    <w:rsid w:val="00AC4726"/>
    <w:rsid w:val="00AC500C"/>
    <w:rsid w:val="00AC5AF4"/>
    <w:rsid w:val="00AC5B9A"/>
    <w:rsid w:val="00AC5BC8"/>
    <w:rsid w:val="00AC6586"/>
    <w:rsid w:val="00AC6C84"/>
    <w:rsid w:val="00AD0EB2"/>
    <w:rsid w:val="00AD1524"/>
    <w:rsid w:val="00AD167D"/>
    <w:rsid w:val="00AD206A"/>
    <w:rsid w:val="00AD247D"/>
    <w:rsid w:val="00AD2549"/>
    <w:rsid w:val="00AD2982"/>
    <w:rsid w:val="00AD2F5A"/>
    <w:rsid w:val="00AD4343"/>
    <w:rsid w:val="00AD4E3F"/>
    <w:rsid w:val="00AD4EF5"/>
    <w:rsid w:val="00AD59D0"/>
    <w:rsid w:val="00AD5CD1"/>
    <w:rsid w:val="00AD5EB1"/>
    <w:rsid w:val="00AD65C2"/>
    <w:rsid w:val="00AD6ED1"/>
    <w:rsid w:val="00AD79A3"/>
    <w:rsid w:val="00AD7A24"/>
    <w:rsid w:val="00AD7CB7"/>
    <w:rsid w:val="00AE03F1"/>
    <w:rsid w:val="00AE14AF"/>
    <w:rsid w:val="00AE2286"/>
    <w:rsid w:val="00AE3075"/>
    <w:rsid w:val="00AE3243"/>
    <w:rsid w:val="00AE32E0"/>
    <w:rsid w:val="00AE3535"/>
    <w:rsid w:val="00AE3802"/>
    <w:rsid w:val="00AE5479"/>
    <w:rsid w:val="00AE5C53"/>
    <w:rsid w:val="00AE68A4"/>
    <w:rsid w:val="00AE772B"/>
    <w:rsid w:val="00AE773C"/>
    <w:rsid w:val="00AE7EB9"/>
    <w:rsid w:val="00AF1F0B"/>
    <w:rsid w:val="00AF21C8"/>
    <w:rsid w:val="00AF289D"/>
    <w:rsid w:val="00AF34A4"/>
    <w:rsid w:val="00AF3615"/>
    <w:rsid w:val="00AF399B"/>
    <w:rsid w:val="00AF46C1"/>
    <w:rsid w:val="00AF534C"/>
    <w:rsid w:val="00AF63EA"/>
    <w:rsid w:val="00AF74C9"/>
    <w:rsid w:val="00AF778C"/>
    <w:rsid w:val="00B001FD"/>
    <w:rsid w:val="00B00BEF"/>
    <w:rsid w:val="00B01016"/>
    <w:rsid w:val="00B0147E"/>
    <w:rsid w:val="00B02589"/>
    <w:rsid w:val="00B02A30"/>
    <w:rsid w:val="00B0330A"/>
    <w:rsid w:val="00B03FEC"/>
    <w:rsid w:val="00B0425A"/>
    <w:rsid w:val="00B04E99"/>
    <w:rsid w:val="00B05178"/>
    <w:rsid w:val="00B05320"/>
    <w:rsid w:val="00B06677"/>
    <w:rsid w:val="00B069F1"/>
    <w:rsid w:val="00B06D41"/>
    <w:rsid w:val="00B07603"/>
    <w:rsid w:val="00B0795A"/>
    <w:rsid w:val="00B10615"/>
    <w:rsid w:val="00B106ED"/>
    <w:rsid w:val="00B10BB8"/>
    <w:rsid w:val="00B111C7"/>
    <w:rsid w:val="00B116A0"/>
    <w:rsid w:val="00B12884"/>
    <w:rsid w:val="00B12D30"/>
    <w:rsid w:val="00B13E06"/>
    <w:rsid w:val="00B1569F"/>
    <w:rsid w:val="00B15B0F"/>
    <w:rsid w:val="00B161DE"/>
    <w:rsid w:val="00B16C24"/>
    <w:rsid w:val="00B173D9"/>
    <w:rsid w:val="00B17F2B"/>
    <w:rsid w:val="00B216DA"/>
    <w:rsid w:val="00B23697"/>
    <w:rsid w:val="00B23A3A"/>
    <w:rsid w:val="00B23ACD"/>
    <w:rsid w:val="00B23F44"/>
    <w:rsid w:val="00B2460C"/>
    <w:rsid w:val="00B24943"/>
    <w:rsid w:val="00B24979"/>
    <w:rsid w:val="00B24CAA"/>
    <w:rsid w:val="00B2652A"/>
    <w:rsid w:val="00B2723C"/>
    <w:rsid w:val="00B27BC1"/>
    <w:rsid w:val="00B32234"/>
    <w:rsid w:val="00B32930"/>
    <w:rsid w:val="00B3711E"/>
    <w:rsid w:val="00B374C2"/>
    <w:rsid w:val="00B3780E"/>
    <w:rsid w:val="00B37CE2"/>
    <w:rsid w:val="00B448F8"/>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CBD"/>
    <w:rsid w:val="00B67F21"/>
    <w:rsid w:val="00B67FC2"/>
    <w:rsid w:val="00B7017C"/>
    <w:rsid w:val="00B70638"/>
    <w:rsid w:val="00B70A99"/>
    <w:rsid w:val="00B70ECD"/>
    <w:rsid w:val="00B711ED"/>
    <w:rsid w:val="00B72049"/>
    <w:rsid w:val="00B7238A"/>
    <w:rsid w:val="00B7288D"/>
    <w:rsid w:val="00B73114"/>
    <w:rsid w:val="00B7370A"/>
    <w:rsid w:val="00B749FA"/>
    <w:rsid w:val="00B74D2E"/>
    <w:rsid w:val="00B80423"/>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5038"/>
    <w:rsid w:val="00B96109"/>
    <w:rsid w:val="00B9629E"/>
    <w:rsid w:val="00B96F4F"/>
    <w:rsid w:val="00B97D61"/>
    <w:rsid w:val="00B97D67"/>
    <w:rsid w:val="00BA01AD"/>
    <w:rsid w:val="00BA0C99"/>
    <w:rsid w:val="00BA0F63"/>
    <w:rsid w:val="00BA1361"/>
    <w:rsid w:val="00BA2C3A"/>
    <w:rsid w:val="00BA3704"/>
    <w:rsid w:val="00BA4065"/>
    <w:rsid w:val="00BA63BF"/>
    <w:rsid w:val="00BB03DA"/>
    <w:rsid w:val="00BB07C4"/>
    <w:rsid w:val="00BB098A"/>
    <w:rsid w:val="00BB1270"/>
    <w:rsid w:val="00BB1B19"/>
    <w:rsid w:val="00BB1CCF"/>
    <w:rsid w:val="00BB2F72"/>
    <w:rsid w:val="00BB4946"/>
    <w:rsid w:val="00BB58E3"/>
    <w:rsid w:val="00BB5D02"/>
    <w:rsid w:val="00BB6CA9"/>
    <w:rsid w:val="00BB7A06"/>
    <w:rsid w:val="00BB7D48"/>
    <w:rsid w:val="00BC0AC5"/>
    <w:rsid w:val="00BC0F4D"/>
    <w:rsid w:val="00BC2C66"/>
    <w:rsid w:val="00BC3507"/>
    <w:rsid w:val="00BC3D5B"/>
    <w:rsid w:val="00BC502E"/>
    <w:rsid w:val="00BC52BE"/>
    <w:rsid w:val="00BC5DED"/>
    <w:rsid w:val="00BC6431"/>
    <w:rsid w:val="00BC6501"/>
    <w:rsid w:val="00BC6546"/>
    <w:rsid w:val="00BC686E"/>
    <w:rsid w:val="00BD077B"/>
    <w:rsid w:val="00BD094B"/>
    <w:rsid w:val="00BD0D65"/>
    <w:rsid w:val="00BD1708"/>
    <w:rsid w:val="00BD1F56"/>
    <w:rsid w:val="00BD2A72"/>
    <w:rsid w:val="00BD2C5A"/>
    <w:rsid w:val="00BD4680"/>
    <w:rsid w:val="00BD4DB8"/>
    <w:rsid w:val="00BD4FC3"/>
    <w:rsid w:val="00BD78F4"/>
    <w:rsid w:val="00BD7A6D"/>
    <w:rsid w:val="00BD7C5E"/>
    <w:rsid w:val="00BE4603"/>
    <w:rsid w:val="00BE4719"/>
    <w:rsid w:val="00BE5C38"/>
    <w:rsid w:val="00BE5ED6"/>
    <w:rsid w:val="00BE65DB"/>
    <w:rsid w:val="00BF02B4"/>
    <w:rsid w:val="00BF0775"/>
    <w:rsid w:val="00BF1792"/>
    <w:rsid w:val="00BF2451"/>
    <w:rsid w:val="00BF2848"/>
    <w:rsid w:val="00BF2CB7"/>
    <w:rsid w:val="00BF2F1B"/>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171E6"/>
    <w:rsid w:val="00C20CBB"/>
    <w:rsid w:val="00C214DA"/>
    <w:rsid w:val="00C21DE6"/>
    <w:rsid w:val="00C237AB"/>
    <w:rsid w:val="00C23A2C"/>
    <w:rsid w:val="00C23CC5"/>
    <w:rsid w:val="00C24035"/>
    <w:rsid w:val="00C24F5D"/>
    <w:rsid w:val="00C24FF8"/>
    <w:rsid w:val="00C25B74"/>
    <w:rsid w:val="00C25FCB"/>
    <w:rsid w:val="00C261A8"/>
    <w:rsid w:val="00C276C5"/>
    <w:rsid w:val="00C277CB"/>
    <w:rsid w:val="00C277F5"/>
    <w:rsid w:val="00C337BE"/>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FD6"/>
    <w:rsid w:val="00C45BA1"/>
    <w:rsid w:val="00C46D09"/>
    <w:rsid w:val="00C47BE2"/>
    <w:rsid w:val="00C502C1"/>
    <w:rsid w:val="00C50BA7"/>
    <w:rsid w:val="00C50D55"/>
    <w:rsid w:val="00C50F15"/>
    <w:rsid w:val="00C513DA"/>
    <w:rsid w:val="00C53848"/>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6607B"/>
    <w:rsid w:val="00C708F4"/>
    <w:rsid w:val="00C70D57"/>
    <w:rsid w:val="00C712A6"/>
    <w:rsid w:val="00C728BC"/>
    <w:rsid w:val="00C72CE5"/>
    <w:rsid w:val="00C7361F"/>
    <w:rsid w:val="00C73A28"/>
    <w:rsid w:val="00C74114"/>
    <w:rsid w:val="00C74FFE"/>
    <w:rsid w:val="00C7538B"/>
    <w:rsid w:val="00C75F19"/>
    <w:rsid w:val="00C76B77"/>
    <w:rsid w:val="00C77A66"/>
    <w:rsid w:val="00C80279"/>
    <w:rsid w:val="00C8062A"/>
    <w:rsid w:val="00C8127D"/>
    <w:rsid w:val="00C81AA2"/>
    <w:rsid w:val="00C821B9"/>
    <w:rsid w:val="00C82F2D"/>
    <w:rsid w:val="00C83919"/>
    <w:rsid w:val="00C83AE3"/>
    <w:rsid w:val="00C83D34"/>
    <w:rsid w:val="00C840A2"/>
    <w:rsid w:val="00C8474E"/>
    <w:rsid w:val="00C847E4"/>
    <w:rsid w:val="00C848F9"/>
    <w:rsid w:val="00C85FF0"/>
    <w:rsid w:val="00C86693"/>
    <w:rsid w:val="00C86F2F"/>
    <w:rsid w:val="00C8755A"/>
    <w:rsid w:val="00C905AA"/>
    <w:rsid w:val="00C907EE"/>
    <w:rsid w:val="00C915FA"/>
    <w:rsid w:val="00C91B49"/>
    <w:rsid w:val="00C92A93"/>
    <w:rsid w:val="00C92EC4"/>
    <w:rsid w:val="00C9352F"/>
    <w:rsid w:val="00C93D95"/>
    <w:rsid w:val="00C9418D"/>
    <w:rsid w:val="00C944FE"/>
    <w:rsid w:val="00C94A68"/>
    <w:rsid w:val="00C94BEC"/>
    <w:rsid w:val="00C95665"/>
    <w:rsid w:val="00C95DB1"/>
    <w:rsid w:val="00C97130"/>
    <w:rsid w:val="00C974F2"/>
    <w:rsid w:val="00C97B75"/>
    <w:rsid w:val="00C97E61"/>
    <w:rsid w:val="00CA072F"/>
    <w:rsid w:val="00CA116B"/>
    <w:rsid w:val="00CA17F8"/>
    <w:rsid w:val="00CA5C29"/>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C55"/>
    <w:rsid w:val="00CD2FF3"/>
    <w:rsid w:val="00CD3A46"/>
    <w:rsid w:val="00CD3AE5"/>
    <w:rsid w:val="00CD3EE8"/>
    <w:rsid w:val="00CD4608"/>
    <w:rsid w:val="00CD51C2"/>
    <w:rsid w:val="00CD5DB2"/>
    <w:rsid w:val="00CD7BCD"/>
    <w:rsid w:val="00CE10DD"/>
    <w:rsid w:val="00CE1C20"/>
    <w:rsid w:val="00CE20BC"/>
    <w:rsid w:val="00CE2F6E"/>
    <w:rsid w:val="00CE37BD"/>
    <w:rsid w:val="00CE3965"/>
    <w:rsid w:val="00CE3CE9"/>
    <w:rsid w:val="00CE3D7C"/>
    <w:rsid w:val="00CE4615"/>
    <w:rsid w:val="00CE4711"/>
    <w:rsid w:val="00CE4723"/>
    <w:rsid w:val="00CE6007"/>
    <w:rsid w:val="00CE794C"/>
    <w:rsid w:val="00CF16B8"/>
    <w:rsid w:val="00CF26C2"/>
    <w:rsid w:val="00CF286E"/>
    <w:rsid w:val="00CF2CA3"/>
    <w:rsid w:val="00CF3765"/>
    <w:rsid w:val="00CF3949"/>
    <w:rsid w:val="00CF46A7"/>
    <w:rsid w:val="00CF47C3"/>
    <w:rsid w:val="00CF4AFA"/>
    <w:rsid w:val="00CF60AE"/>
    <w:rsid w:val="00D00FDC"/>
    <w:rsid w:val="00D01C10"/>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4CF4"/>
    <w:rsid w:val="00D176C8"/>
    <w:rsid w:val="00D17D3E"/>
    <w:rsid w:val="00D206F5"/>
    <w:rsid w:val="00D20BC3"/>
    <w:rsid w:val="00D2166C"/>
    <w:rsid w:val="00D22054"/>
    <w:rsid w:val="00D226AC"/>
    <w:rsid w:val="00D229A1"/>
    <w:rsid w:val="00D231BC"/>
    <w:rsid w:val="00D23B93"/>
    <w:rsid w:val="00D23D28"/>
    <w:rsid w:val="00D2486A"/>
    <w:rsid w:val="00D2545B"/>
    <w:rsid w:val="00D25E9A"/>
    <w:rsid w:val="00D2697E"/>
    <w:rsid w:val="00D269EE"/>
    <w:rsid w:val="00D26C63"/>
    <w:rsid w:val="00D2715C"/>
    <w:rsid w:val="00D2787F"/>
    <w:rsid w:val="00D302B5"/>
    <w:rsid w:val="00D3079D"/>
    <w:rsid w:val="00D307F8"/>
    <w:rsid w:val="00D31789"/>
    <w:rsid w:val="00D320D4"/>
    <w:rsid w:val="00D32C95"/>
    <w:rsid w:val="00D32DAB"/>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59C7"/>
    <w:rsid w:val="00D46EC1"/>
    <w:rsid w:val="00D470E4"/>
    <w:rsid w:val="00D4746B"/>
    <w:rsid w:val="00D50BAE"/>
    <w:rsid w:val="00D50F2C"/>
    <w:rsid w:val="00D519F0"/>
    <w:rsid w:val="00D51F19"/>
    <w:rsid w:val="00D51F3D"/>
    <w:rsid w:val="00D526BC"/>
    <w:rsid w:val="00D532AA"/>
    <w:rsid w:val="00D53AA6"/>
    <w:rsid w:val="00D55DC3"/>
    <w:rsid w:val="00D567EC"/>
    <w:rsid w:val="00D568D7"/>
    <w:rsid w:val="00D56D52"/>
    <w:rsid w:val="00D56F3C"/>
    <w:rsid w:val="00D57A9E"/>
    <w:rsid w:val="00D60883"/>
    <w:rsid w:val="00D61130"/>
    <w:rsid w:val="00D61967"/>
    <w:rsid w:val="00D62E19"/>
    <w:rsid w:val="00D63052"/>
    <w:rsid w:val="00D63D27"/>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F3C"/>
    <w:rsid w:val="00D83D31"/>
    <w:rsid w:val="00D84148"/>
    <w:rsid w:val="00D851BB"/>
    <w:rsid w:val="00D85216"/>
    <w:rsid w:val="00D85805"/>
    <w:rsid w:val="00D902B6"/>
    <w:rsid w:val="00D90682"/>
    <w:rsid w:val="00D9177C"/>
    <w:rsid w:val="00D91790"/>
    <w:rsid w:val="00D9181F"/>
    <w:rsid w:val="00D91AEC"/>
    <w:rsid w:val="00D91E81"/>
    <w:rsid w:val="00D933BD"/>
    <w:rsid w:val="00D93995"/>
    <w:rsid w:val="00D93D22"/>
    <w:rsid w:val="00D948E9"/>
    <w:rsid w:val="00D94C4A"/>
    <w:rsid w:val="00D954EB"/>
    <w:rsid w:val="00D96A81"/>
    <w:rsid w:val="00D96AEE"/>
    <w:rsid w:val="00D97C35"/>
    <w:rsid w:val="00DA06B7"/>
    <w:rsid w:val="00DA0EE7"/>
    <w:rsid w:val="00DA1222"/>
    <w:rsid w:val="00DA156C"/>
    <w:rsid w:val="00DA187A"/>
    <w:rsid w:val="00DA1A13"/>
    <w:rsid w:val="00DA3196"/>
    <w:rsid w:val="00DA3B3E"/>
    <w:rsid w:val="00DA4306"/>
    <w:rsid w:val="00DA5D9C"/>
    <w:rsid w:val="00DA6C32"/>
    <w:rsid w:val="00DA72A9"/>
    <w:rsid w:val="00DB0F01"/>
    <w:rsid w:val="00DB140D"/>
    <w:rsid w:val="00DB1B91"/>
    <w:rsid w:val="00DB1E86"/>
    <w:rsid w:val="00DB4D64"/>
    <w:rsid w:val="00DB5665"/>
    <w:rsid w:val="00DB701E"/>
    <w:rsid w:val="00DB7CF2"/>
    <w:rsid w:val="00DC0723"/>
    <w:rsid w:val="00DC15CE"/>
    <w:rsid w:val="00DC1C95"/>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B2"/>
    <w:rsid w:val="00DD590E"/>
    <w:rsid w:val="00DD5A19"/>
    <w:rsid w:val="00DD5AA6"/>
    <w:rsid w:val="00DD602D"/>
    <w:rsid w:val="00DD617A"/>
    <w:rsid w:val="00DD6547"/>
    <w:rsid w:val="00DD6D33"/>
    <w:rsid w:val="00DE0032"/>
    <w:rsid w:val="00DE0629"/>
    <w:rsid w:val="00DE0787"/>
    <w:rsid w:val="00DE0A3A"/>
    <w:rsid w:val="00DE1738"/>
    <w:rsid w:val="00DE4671"/>
    <w:rsid w:val="00DE4936"/>
    <w:rsid w:val="00DE5326"/>
    <w:rsid w:val="00DE5AC9"/>
    <w:rsid w:val="00DE6407"/>
    <w:rsid w:val="00DF0A15"/>
    <w:rsid w:val="00DF0E2B"/>
    <w:rsid w:val="00DF16A8"/>
    <w:rsid w:val="00DF32BB"/>
    <w:rsid w:val="00DF4854"/>
    <w:rsid w:val="00DF5DE0"/>
    <w:rsid w:val="00DF6A7C"/>
    <w:rsid w:val="00DF781A"/>
    <w:rsid w:val="00DF79AA"/>
    <w:rsid w:val="00E01437"/>
    <w:rsid w:val="00E016E8"/>
    <w:rsid w:val="00E01984"/>
    <w:rsid w:val="00E02412"/>
    <w:rsid w:val="00E02561"/>
    <w:rsid w:val="00E02EF4"/>
    <w:rsid w:val="00E02F74"/>
    <w:rsid w:val="00E0349B"/>
    <w:rsid w:val="00E043BE"/>
    <w:rsid w:val="00E04808"/>
    <w:rsid w:val="00E04BC7"/>
    <w:rsid w:val="00E04CF6"/>
    <w:rsid w:val="00E05B87"/>
    <w:rsid w:val="00E05B90"/>
    <w:rsid w:val="00E06798"/>
    <w:rsid w:val="00E06825"/>
    <w:rsid w:val="00E07430"/>
    <w:rsid w:val="00E106AE"/>
    <w:rsid w:val="00E11153"/>
    <w:rsid w:val="00E1158C"/>
    <w:rsid w:val="00E1254D"/>
    <w:rsid w:val="00E13787"/>
    <w:rsid w:val="00E13A27"/>
    <w:rsid w:val="00E171D1"/>
    <w:rsid w:val="00E20207"/>
    <w:rsid w:val="00E204C0"/>
    <w:rsid w:val="00E212A7"/>
    <w:rsid w:val="00E21597"/>
    <w:rsid w:val="00E216D5"/>
    <w:rsid w:val="00E223E8"/>
    <w:rsid w:val="00E22608"/>
    <w:rsid w:val="00E233B4"/>
    <w:rsid w:val="00E2364A"/>
    <w:rsid w:val="00E239ED"/>
    <w:rsid w:val="00E23A5D"/>
    <w:rsid w:val="00E23EA9"/>
    <w:rsid w:val="00E2438A"/>
    <w:rsid w:val="00E26137"/>
    <w:rsid w:val="00E268A4"/>
    <w:rsid w:val="00E26C39"/>
    <w:rsid w:val="00E27095"/>
    <w:rsid w:val="00E273E0"/>
    <w:rsid w:val="00E307B4"/>
    <w:rsid w:val="00E308C8"/>
    <w:rsid w:val="00E308CA"/>
    <w:rsid w:val="00E3182B"/>
    <w:rsid w:val="00E321A4"/>
    <w:rsid w:val="00E32BA0"/>
    <w:rsid w:val="00E32CEC"/>
    <w:rsid w:val="00E32DF1"/>
    <w:rsid w:val="00E33E3B"/>
    <w:rsid w:val="00E34052"/>
    <w:rsid w:val="00E34357"/>
    <w:rsid w:val="00E3470C"/>
    <w:rsid w:val="00E3480C"/>
    <w:rsid w:val="00E3480D"/>
    <w:rsid w:val="00E34BDE"/>
    <w:rsid w:val="00E3567B"/>
    <w:rsid w:val="00E3590E"/>
    <w:rsid w:val="00E36B6B"/>
    <w:rsid w:val="00E37038"/>
    <w:rsid w:val="00E37168"/>
    <w:rsid w:val="00E3772C"/>
    <w:rsid w:val="00E37E51"/>
    <w:rsid w:val="00E4094D"/>
    <w:rsid w:val="00E4132F"/>
    <w:rsid w:val="00E4171A"/>
    <w:rsid w:val="00E41AE0"/>
    <w:rsid w:val="00E41E02"/>
    <w:rsid w:val="00E42E95"/>
    <w:rsid w:val="00E4314E"/>
    <w:rsid w:val="00E43E59"/>
    <w:rsid w:val="00E44A8A"/>
    <w:rsid w:val="00E453AB"/>
    <w:rsid w:val="00E46CED"/>
    <w:rsid w:val="00E50D32"/>
    <w:rsid w:val="00E51006"/>
    <w:rsid w:val="00E514E7"/>
    <w:rsid w:val="00E51742"/>
    <w:rsid w:val="00E5295C"/>
    <w:rsid w:val="00E52969"/>
    <w:rsid w:val="00E5357B"/>
    <w:rsid w:val="00E539D3"/>
    <w:rsid w:val="00E53AEF"/>
    <w:rsid w:val="00E53FCD"/>
    <w:rsid w:val="00E54993"/>
    <w:rsid w:val="00E55C1C"/>
    <w:rsid w:val="00E56092"/>
    <w:rsid w:val="00E56674"/>
    <w:rsid w:val="00E578CD"/>
    <w:rsid w:val="00E602AD"/>
    <w:rsid w:val="00E61052"/>
    <w:rsid w:val="00E6213E"/>
    <w:rsid w:val="00E6348C"/>
    <w:rsid w:val="00E63926"/>
    <w:rsid w:val="00E65F10"/>
    <w:rsid w:val="00E66EA4"/>
    <w:rsid w:val="00E672B0"/>
    <w:rsid w:val="00E67451"/>
    <w:rsid w:val="00E67BEC"/>
    <w:rsid w:val="00E70328"/>
    <w:rsid w:val="00E71C48"/>
    <w:rsid w:val="00E7214F"/>
    <w:rsid w:val="00E7269D"/>
    <w:rsid w:val="00E72F1B"/>
    <w:rsid w:val="00E7430D"/>
    <w:rsid w:val="00E74BFE"/>
    <w:rsid w:val="00E75EB4"/>
    <w:rsid w:val="00E762FD"/>
    <w:rsid w:val="00E77AAF"/>
    <w:rsid w:val="00E80F1D"/>
    <w:rsid w:val="00E81B38"/>
    <w:rsid w:val="00E8242F"/>
    <w:rsid w:val="00E82E21"/>
    <w:rsid w:val="00E82EFF"/>
    <w:rsid w:val="00E83059"/>
    <w:rsid w:val="00E83897"/>
    <w:rsid w:val="00E83BF7"/>
    <w:rsid w:val="00E84A3A"/>
    <w:rsid w:val="00E85909"/>
    <w:rsid w:val="00E85FA2"/>
    <w:rsid w:val="00E8650C"/>
    <w:rsid w:val="00E868D8"/>
    <w:rsid w:val="00E86CDC"/>
    <w:rsid w:val="00E8716D"/>
    <w:rsid w:val="00E874C7"/>
    <w:rsid w:val="00E90A02"/>
    <w:rsid w:val="00E90BD0"/>
    <w:rsid w:val="00E924BA"/>
    <w:rsid w:val="00E92751"/>
    <w:rsid w:val="00E92BC6"/>
    <w:rsid w:val="00E9465F"/>
    <w:rsid w:val="00E949DA"/>
    <w:rsid w:val="00E957A3"/>
    <w:rsid w:val="00E95F35"/>
    <w:rsid w:val="00E961A7"/>
    <w:rsid w:val="00E961AE"/>
    <w:rsid w:val="00E96D94"/>
    <w:rsid w:val="00E96EE1"/>
    <w:rsid w:val="00E9719F"/>
    <w:rsid w:val="00E97D4F"/>
    <w:rsid w:val="00E97DB5"/>
    <w:rsid w:val="00EA02B7"/>
    <w:rsid w:val="00EA1A22"/>
    <w:rsid w:val="00EA1F91"/>
    <w:rsid w:val="00EA2B88"/>
    <w:rsid w:val="00EA2C5F"/>
    <w:rsid w:val="00EA356B"/>
    <w:rsid w:val="00EA3C79"/>
    <w:rsid w:val="00EA4AC2"/>
    <w:rsid w:val="00EA4E29"/>
    <w:rsid w:val="00EA5CA5"/>
    <w:rsid w:val="00EA620A"/>
    <w:rsid w:val="00EA6225"/>
    <w:rsid w:val="00EA6574"/>
    <w:rsid w:val="00EA70BB"/>
    <w:rsid w:val="00EB003C"/>
    <w:rsid w:val="00EB0668"/>
    <w:rsid w:val="00EB1319"/>
    <w:rsid w:val="00EB1C6F"/>
    <w:rsid w:val="00EB32A6"/>
    <w:rsid w:val="00EB3EEF"/>
    <w:rsid w:val="00EB3FD4"/>
    <w:rsid w:val="00EB4820"/>
    <w:rsid w:val="00EB66E2"/>
    <w:rsid w:val="00EB7211"/>
    <w:rsid w:val="00EC168F"/>
    <w:rsid w:val="00EC19BB"/>
    <w:rsid w:val="00EC1A4E"/>
    <w:rsid w:val="00EC2C93"/>
    <w:rsid w:val="00EC3933"/>
    <w:rsid w:val="00EC4472"/>
    <w:rsid w:val="00EC5800"/>
    <w:rsid w:val="00EC6152"/>
    <w:rsid w:val="00EC696E"/>
    <w:rsid w:val="00EC70C7"/>
    <w:rsid w:val="00EC777A"/>
    <w:rsid w:val="00EC7840"/>
    <w:rsid w:val="00ED157E"/>
    <w:rsid w:val="00ED1894"/>
    <w:rsid w:val="00ED2620"/>
    <w:rsid w:val="00ED28A3"/>
    <w:rsid w:val="00ED35B9"/>
    <w:rsid w:val="00ED3743"/>
    <w:rsid w:val="00ED3AB2"/>
    <w:rsid w:val="00ED3AFF"/>
    <w:rsid w:val="00ED3C0C"/>
    <w:rsid w:val="00ED4169"/>
    <w:rsid w:val="00ED4E54"/>
    <w:rsid w:val="00ED6C2F"/>
    <w:rsid w:val="00ED7375"/>
    <w:rsid w:val="00ED7604"/>
    <w:rsid w:val="00EE07D9"/>
    <w:rsid w:val="00EE0C81"/>
    <w:rsid w:val="00EE1391"/>
    <w:rsid w:val="00EE13D1"/>
    <w:rsid w:val="00EE1EAD"/>
    <w:rsid w:val="00EE25E5"/>
    <w:rsid w:val="00EE2774"/>
    <w:rsid w:val="00EE28D7"/>
    <w:rsid w:val="00EE29B1"/>
    <w:rsid w:val="00EE2E12"/>
    <w:rsid w:val="00EE2F1D"/>
    <w:rsid w:val="00EE3622"/>
    <w:rsid w:val="00EE3A0D"/>
    <w:rsid w:val="00EE40F0"/>
    <w:rsid w:val="00EE4DE9"/>
    <w:rsid w:val="00EE5015"/>
    <w:rsid w:val="00EE502C"/>
    <w:rsid w:val="00EE7315"/>
    <w:rsid w:val="00EF010B"/>
    <w:rsid w:val="00EF0172"/>
    <w:rsid w:val="00EF0925"/>
    <w:rsid w:val="00EF10C8"/>
    <w:rsid w:val="00EF1EB1"/>
    <w:rsid w:val="00EF294C"/>
    <w:rsid w:val="00EF3223"/>
    <w:rsid w:val="00EF3369"/>
    <w:rsid w:val="00EF366C"/>
    <w:rsid w:val="00EF49FF"/>
    <w:rsid w:val="00EF4B9A"/>
    <w:rsid w:val="00EF6ECF"/>
    <w:rsid w:val="00EF7AD5"/>
    <w:rsid w:val="00EF7EC9"/>
    <w:rsid w:val="00F00FB7"/>
    <w:rsid w:val="00F04156"/>
    <w:rsid w:val="00F04A98"/>
    <w:rsid w:val="00F0560F"/>
    <w:rsid w:val="00F058E1"/>
    <w:rsid w:val="00F07C7F"/>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083F"/>
    <w:rsid w:val="00F21233"/>
    <w:rsid w:val="00F21911"/>
    <w:rsid w:val="00F220B9"/>
    <w:rsid w:val="00F2215F"/>
    <w:rsid w:val="00F222F1"/>
    <w:rsid w:val="00F22581"/>
    <w:rsid w:val="00F22B15"/>
    <w:rsid w:val="00F22F30"/>
    <w:rsid w:val="00F23172"/>
    <w:rsid w:val="00F23814"/>
    <w:rsid w:val="00F23896"/>
    <w:rsid w:val="00F24078"/>
    <w:rsid w:val="00F241F5"/>
    <w:rsid w:val="00F24911"/>
    <w:rsid w:val="00F25C92"/>
    <w:rsid w:val="00F26176"/>
    <w:rsid w:val="00F26968"/>
    <w:rsid w:val="00F26AF2"/>
    <w:rsid w:val="00F26B59"/>
    <w:rsid w:val="00F2715D"/>
    <w:rsid w:val="00F27532"/>
    <w:rsid w:val="00F2774B"/>
    <w:rsid w:val="00F30423"/>
    <w:rsid w:val="00F31079"/>
    <w:rsid w:val="00F31B60"/>
    <w:rsid w:val="00F31BC9"/>
    <w:rsid w:val="00F31D90"/>
    <w:rsid w:val="00F33491"/>
    <w:rsid w:val="00F351AA"/>
    <w:rsid w:val="00F36044"/>
    <w:rsid w:val="00F36FB7"/>
    <w:rsid w:val="00F378C2"/>
    <w:rsid w:val="00F408B7"/>
    <w:rsid w:val="00F42E8F"/>
    <w:rsid w:val="00F433AB"/>
    <w:rsid w:val="00F4352E"/>
    <w:rsid w:val="00F44986"/>
    <w:rsid w:val="00F44ED4"/>
    <w:rsid w:val="00F45120"/>
    <w:rsid w:val="00F452CE"/>
    <w:rsid w:val="00F45B3B"/>
    <w:rsid w:val="00F461E2"/>
    <w:rsid w:val="00F461F3"/>
    <w:rsid w:val="00F46628"/>
    <w:rsid w:val="00F468F0"/>
    <w:rsid w:val="00F502D2"/>
    <w:rsid w:val="00F50461"/>
    <w:rsid w:val="00F50B52"/>
    <w:rsid w:val="00F510CE"/>
    <w:rsid w:val="00F5341C"/>
    <w:rsid w:val="00F5374C"/>
    <w:rsid w:val="00F54A8B"/>
    <w:rsid w:val="00F54ECE"/>
    <w:rsid w:val="00F5504E"/>
    <w:rsid w:val="00F552E2"/>
    <w:rsid w:val="00F55B94"/>
    <w:rsid w:val="00F55E68"/>
    <w:rsid w:val="00F55F26"/>
    <w:rsid w:val="00F567C0"/>
    <w:rsid w:val="00F57034"/>
    <w:rsid w:val="00F57AFF"/>
    <w:rsid w:val="00F57E5F"/>
    <w:rsid w:val="00F57F00"/>
    <w:rsid w:val="00F61777"/>
    <w:rsid w:val="00F618A2"/>
    <w:rsid w:val="00F61D39"/>
    <w:rsid w:val="00F635B6"/>
    <w:rsid w:val="00F63EEB"/>
    <w:rsid w:val="00F651F6"/>
    <w:rsid w:val="00F652CE"/>
    <w:rsid w:val="00F657DA"/>
    <w:rsid w:val="00F66446"/>
    <w:rsid w:val="00F66874"/>
    <w:rsid w:val="00F66FFA"/>
    <w:rsid w:val="00F67197"/>
    <w:rsid w:val="00F71843"/>
    <w:rsid w:val="00F71FE3"/>
    <w:rsid w:val="00F72291"/>
    <w:rsid w:val="00F72E88"/>
    <w:rsid w:val="00F746DF"/>
    <w:rsid w:val="00F74DAD"/>
    <w:rsid w:val="00F757AF"/>
    <w:rsid w:val="00F75823"/>
    <w:rsid w:val="00F75C28"/>
    <w:rsid w:val="00F76DEE"/>
    <w:rsid w:val="00F774DD"/>
    <w:rsid w:val="00F800E2"/>
    <w:rsid w:val="00F805D7"/>
    <w:rsid w:val="00F810C3"/>
    <w:rsid w:val="00F81DED"/>
    <w:rsid w:val="00F81FA5"/>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431"/>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B1A"/>
    <w:rsid w:val="00FC6CB7"/>
    <w:rsid w:val="00FC7225"/>
    <w:rsid w:val="00FC74A2"/>
    <w:rsid w:val="00FC76E4"/>
    <w:rsid w:val="00FC774A"/>
    <w:rsid w:val="00FC7766"/>
    <w:rsid w:val="00FD0302"/>
    <w:rsid w:val="00FD037B"/>
    <w:rsid w:val="00FD0C17"/>
    <w:rsid w:val="00FD0ED6"/>
    <w:rsid w:val="00FD228A"/>
    <w:rsid w:val="00FD26DD"/>
    <w:rsid w:val="00FD27B6"/>
    <w:rsid w:val="00FD2955"/>
    <w:rsid w:val="00FD3E53"/>
    <w:rsid w:val="00FD5F3D"/>
    <w:rsid w:val="00FD63F0"/>
    <w:rsid w:val="00FD6518"/>
    <w:rsid w:val="00FD7255"/>
    <w:rsid w:val="00FE0A8D"/>
    <w:rsid w:val="00FE0EBF"/>
    <w:rsid w:val="00FE4185"/>
    <w:rsid w:val="00FE4FF5"/>
    <w:rsid w:val="00FE5B67"/>
    <w:rsid w:val="00FE5DE9"/>
    <w:rsid w:val="00FE6783"/>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3D27"/>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semiHidden/>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paragraph" w:customStyle="1" w:styleId="CRCoverPage">
    <w:name w:val="CR Cover Page"/>
    <w:next w:val="Normal"/>
    <w:link w:val="CRCoverPageZchn"/>
    <w:qFormat/>
    <w:rsid w:val="00405E0D"/>
    <w:pPr>
      <w:spacing w:after="120"/>
    </w:pPr>
    <w:rPr>
      <w:rFonts w:ascii="Arial" w:hAnsi="Arial" w:cs="Times New Roman"/>
      <w:lang w:eastAsia="en-US"/>
    </w:rPr>
  </w:style>
  <w:style w:type="character" w:customStyle="1" w:styleId="CRCoverPageZchn">
    <w:name w:val="CR Cover Page Zchn"/>
    <w:link w:val="CRCoverPage"/>
    <w:rsid w:val="00405E0D"/>
    <w:rPr>
      <w:rFonts w:ascii="Arial" w:hAnsi="Arial" w:cs="Times New Roman"/>
      <w:lang w:eastAsia="en-US"/>
    </w:rPr>
  </w:style>
  <w:style w:type="paragraph" w:customStyle="1" w:styleId="Heading">
    <w:name w:val="Heading"/>
    <w:basedOn w:val="Normal"/>
    <w:qFormat/>
    <w:rsid w:val="003011EF"/>
    <w:pPr>
      <w:keepNext/>
      <w:keepLines/>
      <w:widowControl/>
      <w:overflowPunct w:val="0"/>
      <w:autoSpaceDE w:val="0"/>
      <w:autoSpaceDN w:val="0"/>
      <w:adjustRightInd w:val="0"/>
      <w:spacing w:beforeLines="50" w:before="120" w:after="180"/>
      <w:jc w:val="left"/>
      <w:textAlignment w:val="baseline"/>
      <w:outlineLvl w:val="2"/>
    </w:pPr>
    <w:rPr>
      <w:rFonts w:ascii="Arial" w:eastAsia="SimSun" w:hAnsi="Arial" w:cs="Times New Roman"/>
      <w:b/>
      <w:kern w:val="0"/>
      <w:sz w:val="22"/>
      <w:szCs w:val="20"/>
      <w:u w:val="single"/>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56486002">
      <w:bodyDiv w:val="1"/>
      <w:marLeft w:val="0"/>
      <w:marRight w:val="0"/>
      <w:marTop w:val="0"/>
      <w:marBottom w:val="0"/>
      <w:divBdr>
        <w:top w:val="none" w:sz="0" w:space="0" w:color="auto"/>
        <w:left w:val="none" w:sz="0" w:space="0" w:color="auto"/>
        <w:bottom w:val="none" w:sz="0" w:space="0" w:color="auto"/>
        <w:right w:val="none" w:sz="0" w:space="0" w:color="auto"/>
      </w:divBdr>
      <w:divsChild>
        <w:div w:id="1489052129">
          <w:marLeft w:val="331"/>
          <w:marRight w:val="0"/>
          <w:marTop w:val="0"/>
          <w:marBottom w:val="90"/>
          <w:divBdr>
            <w:top w:val="none" w:sz="0" w:space="0" w:color="auto"/>
            <w:left w:val="none" w:sz="0" w:space="0" w:color="auto"/>
            <w:bottom w:val="none" w:sz="0" w:space="0" w:color="auto"/>
            <w:right w:val="none" w:sz="0" w:space="0" w:color="auto"/>
          </w:divBdr>
        </w:div>
        <w:div w:id="136185844">
          <w:marLeft w:val="331"/>
          <w:marRight w:val="0"/>
          <w:marTop w:val="0"/>
          <w:marBottom w:val="90"/>
          <w:divBdr>
            <w:top w:val="none" w:sz="0" w:space="0" w:color="auto"/>
            <w:left w:val="none" w:sz="0" w:space="0" w:color="auto"/>
            <w:bottom w:val="none" w:sz="0" w:space="0" w:color="auto"/>
            <w:right w:val="none" w:sz="0" w:space="0" w:color="auto"/>
          </w:divBdr>
        </w:div>
        <w:div w:id="1595629388">
          <w:marLeft w:val="331"/>
          <w:marRight w:val="0"/>
          <w:marTop w:val="0"/>
          <w:marBottom w:val="90"/>
          <w:divBdr>
            <w:top w:val="none" w:sz="0" w:space="0" w:color="auto"/>
            <w:left w:val="none" w:sz="0" w:space="0" w:color="auto"/>
            <w:bottom w:val="none" w:sz="0" w:space="0" w:color="auto"/>
            <w:right w:val="none" w:sz="0" w:space="0" w:color="auto"/>
          </w:divBdr>
        </w:div>
        <w:div w:id="1658532740">
          <w:marLeft w:val="1051"/>
          <w:marRight w:val="0"/>
          <w:marTop w:val="0"/>
          <w:marBottom w:val="90"/>
          <w:divBdr>
            <w:top w:val="none" w:sz="0" w:space="0" w:color="auto"/>
            <w:left w:val="none" w:sz="0" w:space="0" w:color="auto"/>
            <w:bottom w:val="none" w:sz="0" w:space="0" w:color="auto"/>
            <w:right w:val="none" w:sz="0" w:space="0" w:color="auto"/>
          </w:divBdr>
        </w:div>
        <w:div w:id="25329537">
          <w:marLeft w:val="1051"/>
          <w:marRight w:val="0"/>
          <w:marTop w:val="0"/>
          <w:marBottom w:val="90"/>
          <w:divBdr>
            <w:top w:val="none" w:sz="0" w:space="0" w:color="auto"/>
            <w:left w:val="none" w:sz="0" w:space="0" w:color="auto"/>
            <w:bottom w:val="none" w:sz="0" w:space="0" w:color="auto"/>
            <w:right w:val="none" w:sz="0" w:space="0" w:color="auto"/>
          </w:divBdr>
        </w:div>
      </w:divsChild>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1586761818">
      <w:bodyDiv w:val="1"/>
      <w:marLeft w:val="0"/>
      <w:marRight w:val="0"/>
      <w:marTop w:val="0"/>
      <w:marBottom w:val="0"/>
      <w:divBdr>
        <w:top w:val="none" w:sz="0" w:space="0" w:color="auto"/>
        <w:left w:val="none" w:sz="0" w:space="0" w:color="auto"/>
        <w:bottom w:val="none" w:sz="0" w:space="0" w:color="auto"/>
        <w:right w:val="none" w:sz="0" w:space="0" w:color="auto"/>
      </w:divBdr>
      <w:divsChild>
        <w:div w:id="1106198216">
          <w:marLeft w:val="331"/>
          <w:marRight w:val="0"/>
          <w:marTop w:val="0"/>
          <w:marBottom w:val="90"/>
          <w:divBdr>
            <w:top w:val="none" w:sz="0" w:space="0" w:color="auto"/>
            <w:left w:val="none" w:sz="0" w:space="0" w:color="auto"/>
            <w:bottom w:val="none" w:sz="0" w:space="0" w:color="auto"/>
            <w:right w:val="none" w:sz="0" w:space="0" w:color="auto"/>
          </w:divBdr>
        </w:div>
        <w:div w:id="130634638">
          <w:marLeft w:val="331"/>
          <w:marRight w:val="0"/>
          <w:marTop w:val="0"/>
          <w:marBottom w:val="90"/>
          <w:divBdr>
            <w:top w:val="none" w:sz="0" w:space="0" w:color="auto"/>
            <w:left w:val="none" w:sz="0" w:space="0" w:color="auto"/>
            <w:bottom w:val="none" w:sz="0" w:space="0" w:color="auto"/>
            <w:right w:val="none" w:sz="0" w:space="0" w:color="auto"/>
          </w:divBdr>
        </w:div>
        <w:div w:id="1795364547">
          <w:marLeft w:val="331"/>
          <w:marRight w:val="0"/>
          <w:marTop w:val="0"/>
          <w:marBottom w:val="90"/>
          <w:divBdr>
            <w:top w:val="none" w:sz="0" w:space="0" w:color="auto"/>
            <w:left w:val="none" w:sz="0" w:space="0" w:color="auto"/>
            <w:bottom w:val="none" w:sz="0" w:space="0" w:color="auto"/>
            <w:right w:val="none" w:sz="0" w:space="0" w:color="auto"/>
          </w:divBdr>
        </w:div>
        <w:div w:id="555163598">
          <w:marLeft w:val="1051"/>
          <w:marRight w:val="0"/>
          <w:marTop w:val="0"/>
          <w:marBottom w:val="90"/>
          <w:divBdr>
            <w:top w:val="none" w:sz="0" w:space="0" w:color="auto"/>
            <w:left w:val="none" w:sz="0" w:space="0" w:color="auto"/>
            <w:bottom w:val="none" w:sz="0" w:space="0" w:color="auto"/>
            <w:right w:val="none" w:sz="0" w:space="0" w:color="auto"/>
          </w:divBdr>
        </w:div>
        <w:div w:id="658776278">
          <w:marLeft w:val="1771"/>
          <w:marRight w:val="0"/>
          <w:marTop w:val="0"/>
          <w:marBottom w:val="90"/>
          <w:divBdr>
            <w:top w:val="none" w:sz="0" w:space="0" w:color="auto"/>
            <w:left w:val="none" w:sz="0" w:space="0" w:color="auto"/>
            <w:bottom w:val="none" w:sz="0" w:space="0" w:color="auto"/>
            <w:right w:val="none" w:sz="0" w:space="0" w:color="auto"/>
          </w:divBdr>
        </w:div>
        <w:div w:id="269364600">
          <w:marLeft w:val="1771"/>
          <w:marRight w:val="0"/>
          <w:marTop w:val="0"/>
          <w:marBottom w:val="90"/>
          <w:divBdr>
            <w:top w:val="none" w:sz="0" w:space="0" w:color="auto"/>
            <w:left w:val="none" w:sz="0" w:space="0" w:color="auto"/>
            <w:bottom w:val="none" w:sz="0" w:space="0" w:color="auto"/>
            <w:right w:val="none" w:sz="0" w:space="0" w:color="auto"/>
          </w:divBdr>
        </w:div>
      </w:divsChild>
    </w:div>
    <w:div w:id="1769425767">
      <w:bodyDiv w:val="1"/>
      <w:marLeft w:val="0"/>
      <w:marRight w:val="0"/>
      <w:marTop w:val="0"/>
      <w:marBottom w:val="0"/>
      <w:divBdr>
        <w:top w:val="none" w:sz="0" w:space="0" w:color="auto"/>
        <w:left w:val="none" w:sz="0" w:space="0" w:color="auto"/>
        <w:bottom w:val="none" w:sz="0" w:space="0" w:color="auto"/>
        <w:right w:val="none" w:sz="0" w:space="0" w:color="auto"/>
      </w:divBdr>
      <w:divsChild>
        <w:div w:id="1028608258">
          <w:marLeft w:val="331"/>
          <w:marRight w:val="0"/>
          <w:marTop w:val="0"/>
          <w:marBottom w:val="90"/>
          <w:divBdr>
            <w:top w:val="none" w:sz="0" w:space="0" w:color="auto"/>
            <w:left w:val="none" w:sz="0" w:space="0" w:color="auto"/>
            <w:bottom w:val="none" w:sz="0" w:space="0" w:color="auto"/>
            <w:right w:val="none" w:sz="0" w:space="0" w:color="auto"/>
          </w:divBdr>
        </w:div>
        <w:div w:id="1556507690">
          <w:marLeft w:val="331"/>
          <w:marRight w:val="0"/>
          <w:marTop w:val="0"/>
          <w:marBottom w:val="90"/>
          <w:divBdr>
            <w:top w:val="none" w:sz="0" w:space="0" w:color="auto"/>
            <w:left w:val="none" w:sz="0" w:space="0" w:color="auto"/>
            <w:bottom w:val="none" w:sz="0" w:space="0" w:color="auto"/>
            <w:right w:val="none" w:sz="0" w:space="0" w:color="auto"/>
          </w:divBdr>
        </w:div>
        <w:div w:id="1287734856">
          <w:marLeft w:val="331"/>
          <w:marRight w:val="0"/>
          <w:marTop w:val="0"/>
          <w:marBottom w:val="90"/>
          <w:divBdr>
            <w:top w:val="none" w:sz="0" w:space="0" w:color="auto"/>
            <w:left w:val="none" w:sz="0" w:space="0" w:color="auto"/>
            <w:bottom w:val="none" w:sz="0" w:space="0" w:color="auto"/>
            <w:right w:val="none" w:sz="0" w:space="0" w:color="auto"/>
          </w:divBdr>
        </w:div>
        <w:div w:id="1042243475">
          <w:marLeft w:val="331"/>
          <w:marRight w:val="0"/>
          <w:marTop w:val="0"/>
          <w:marBottom w:val="90"/>
          <w:divBdr>
            <w:top w:val="none" w:sz="0" w:space="0" w:color="auto"/>
            <w:left w:val="none" w:sz="0" w:space="0" w:color="auto"/>
            <w:bottom w:val="none" w:sz="0" w:space="0" w:color="auto"/>
            <w:right w:val="none" w:sz="0" w:space="0" w:color="auto"/>
          </w:divBdr>
        </w:div>
        <w:div w:id="1496842389">
          <w:marLeft w:val="331"/>
          <w:marRight w:val="0"/>
          <w:marTop w:val="0"/>
          <w:marBottom w:val="9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 w:id="2138601806">
      <w:bodyDiv w:val="1"/>
      <w:marLeft w:val="0"/>
      <w:marRight w:val="0"/>
      <w:marTop w:val="0"/>
      <w:marBottom w:val="0"/>
      <w:divBdr>
        <w:top w:val="none" w:sz="0" w:space="0" w:color="auto"/>
        <w:left w:val="none" w:sz="0" w:space="0" w:color="auto"/>
        <w:bottom w:val="none" w:sz="0" w:space="0" w:color="auto"/>
        <w:right w:val="none" w:sz="0" w:space="0" w:color="auto"/>
      </w:divBdr>
      <w:divsChild>
        <w:div w:id="1042289764">
          <w:marLeft w:val="331"/>
          <w:marRight w:val="0"/>
          <w:marTop w:val="0"/>
          <w:marBottom w:val="90"/>
          <w:divBdr>
            <w:top w:val="none" w:sz="0" w:space="0" w:color="auto"/>
            <w:left w:val="none" w:sz="0" w:space="0" w:color="auto"/>
            <w:bottom w:val="none" w:sz="0" w:space="0" w:color="auto"/>
            <w:right w:val="none" w:sz="0" w:space="0" w:color="auto"/>
          </w:divBdr>
        </w:div>
        <w:div w:id="2062246075">
          <w:marLeft w:val="331"/>
          <w:marRight w:val="0"/>
          <w:marTop w:val="0"/>
          <w:marBottom w:val="90"/>
          <w:divBdr>
            <w:top w:val="none" w:sz="0" w:space="0" w:color="auto"/>
            <w:left w:val="none" w:sz="0" w:space="0" w:color="auto"/>
            <w:bottom w:val="none" w:sz="0" w:space="0" w:color="auto"/>
            <w:right w:val="none" w:sz="0" w:space="0" w:color="auto"/>
          </w:divBdr>
        </w:div>
        <w:div w:id="1501578474">
          <w:marLeft w:val="331"/>
          <w:marRight w:val="0"/>
          <w:marTop w:val="0"/>
          <w:marBottom w:val="90"/>
          <w:divBdr>
            <w:top w:val="none" w:sz="0" w:space="0" w:color="auto"/>
            <w:left w:val="none" w:sz="0" w:space="0" w:color="auto"/>
            <w:bottom w:val="none" w:sz="0" w:space="0" w:color="auto"/>
            <w:right w:val="none" w:sz="0" w:space="0" w:color="auto"/>
          </w:divBdr>
        </w:div>
        <w:div w:id="1168056820">
          <w:marLeft w:val="331"/>
          <w:marRight w:val="0"/>
          <w:marTop w:val="0"/>
          <w:marBottom w:val="90"/>
          <w:divBdr>
            <w:top w:val="none" w:sz="0" w:space="0" w:color="auto"/>
            <w:left w:val="none" w:sz="0" w:space="0" w:color="auto"/>
            <w:bottom w:val="none" w:sz="0" w:space="0" w:color="auto"/>
            <w:right w:val="none" w:sz="0" w:space="0" w:color="auto"/>
          </w:divBdr>
        </w:div>
        <w:div w:id="190339378">
          <w:marLeft w:val="1051"/>
          <w:marRight w:val="0"/>
          <w:marTop w:val="0"/>
          <w:marBottom w:val="90"/>
          <w:divBdr>
            <w:top w:val="none" w:sz="0" w:space="0" w:color="auto"/>
            <w:left w:val="none" w:sz="0" w:space="0" w:color="auto"/>
            <w:bottom w:val="none" w:sz="0" w:space="0" w:color="auto"/>
            <w:right w:val="none" w:sz="0" w:space="0" w:color="auto"/>
          </w:divBdr>
        </w:div>
        <w:div w:id="1424766874">
          <w:marLeft w:val="1051"/>
          <w:marRight w:val="0"/>
          <w:marTop w:val="0"/>
          <w:marBottom w:val="90"/>
          <w:divBdr>
            <w:top w:val="none" w:sz="0" w:space="0" w:color="auto"/>
            <w:left w:val="none" w:sz="0" w:space="0" w:color="auto"/>
            <w:bottom w:val="none" w:sz="0" w:space="0" w:color="auto"/>
            <w:right w:val="none" w:sz="0" w:space="0" w:color="auto"/>
          </w:divBdr>
        </w:div>
        <w:div w:id="2082210864">
          <w:marLeft w:val="331"/>
          <w:marRight w:val="0"/>
          <w:marTop w:val="0"/>
          <w:marBottom w:val="90"/>
          <w:divBdr>
            <w:top w:val="none" w:sz="0" w:space="0" w:color="auto"/>
            <w:left w:val="none" w:sz="0" w:space="0" w:color="auto"/>
            <w:bottom w:val="none" w:sz="0" w:space="0" w:color="auto"/>
            <w:right w:val="none" w:sz="0" w:space="0" w:color="auto"/>
          </w:divBdr>
        </w:div>
        <w:div w:id="735934219">
          <w:marLeft w:val="1051"/>
          <w:marRight w:val="0"/>
          <w:marTop w:val="0"/>
          <w:marBottom w:val="9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aidu.com/link?url=wU4l5A7swsaiNy9EBaR9MiMNFedteL_XSTN5ZYH81dpO-eSMXqwwalWKsAGy-TLfa3ST7A2Fcs79CtmvNmRcLxkFkT8U219KdQObIdVpf6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39A111-1A22-40A2-B78F-CA1BD4546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2612</Words>
  <Characters>14894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Huawei,HiSilicon</cp:lastModifiedBy>
  <cp:revision>6</cp:revision>
  <dcterms:created xsi:type="dcterms:W3CDTF">2023-02-17T00:27:00Z</dcterms:created>
  <dcterms:modified xsi:type="dcterms:W3CDTF">2023-02-17T00:53:00Z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(3)wKtGgSl9VikVlzXYUq1kslQLqedHk//nl9hOdSvWK45+n9lQ5JW+5j6aBzwsp/+KpVK39Cw7
CTdTMRFV4UzZ/3ep+siFxIs9ysKK16Aoqd84dmSALEdnmA70E8GQzyr8EdftGuBwiiduEWGF
dc7shgF3trCnAuwBKCpcROyPbN3oFdqlr11W7XiOS0HnZgrQPtckrUAexd8H7anN1WGL7wk7
Uk0ZhR8ZolZiuhv1Ox</vt:lpwstr>
  </property>
  <property fmtid="{D5CDD505-2E9C-101B-9397-08002B2CF9AE}" pid="3" name="_2015_ms_pID_7253431">
    <vt:lpwstr>bnHjgQ6aJer85RJX653bQI+tAKZIE5WSYTlwkylJUqbyiFJfPTq95H
B/4MKhq1flm+shf8pp2qUiz0utglbiIZ4zbmYRRm/wlHJRfvr2ZxWdHgdGhR4q6GybV7mKQ6
hyiy5ixbz6mt9Xi21c5K/9Jmr1ACio7+NVd4F3of7UOYIWHshfbWJlKP8/vlnShzcWHSKbjE
cIkbJHHBpsUKPNkQVSFzkQrDCJcPd+J+JG0U</vt:lpwstr>
  </property>
  <property fmtid="{D5CDD505-2E9C-101B-9397-08002B2CF9AE}" pid="4" name="_2015_ms_pID_7253432">
    <vt:lpwstr>SQ==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